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00D" w:rsidRDefault="00DB300D" w:rsidP="00DB300D">
      <w:pPr>
        <w:spacing w:line="550" w:lineRule="exact"/>
        <w:ind w:firstLineChars="200" w:firstLine="640"/>
      </w:pPr>
    </w:p>
    <w:p w:rsidR="00BA66FB" w:rsidRPr="004158C8" w:rsidRDefault="00BA66FB" w:rsidP="00BA66FB">
      <w:pPr>
        <w:spacing w:line="578" w:lineRule="exact"/>
        <w:jc w:val="center"/>
        <w:rPr>
          <w:rFonts w:eastAsia="方正小标宋_GBK" w:hint="eastAsia"/>
          <w:sz w:val="44"/>
          <w:szCs w:val="44"/>
        </w:rPr>
      </w:pPr>
      <w:r w:rsidRPr="004158C8">
        <w:rPr>
          <w:rFonts w:eastAsia="方正小标宋_GBK" w:hint="eastAsia"/>
          <w:sz w:val="44"/>
          <w:szCs w:val="44"/>
        </w:rPr>
        <w:t>重庆市财政局关于编制</w:t>
      </w:r>
    </w:p>
    <w:p w:rsidR="00BA66FB" w:rsidRPr="004158C8" w:rsidRDefault="00BA66FB" w:rsidP="00BA66FB">
      <w:pPr>
        <w:spacing w:line="578" w:lineRule="exact"/>
        <w:jc w:val="center"/>
        <w:rPr>
          <w:rFonts w:eastAsia="方正小标宋_GBK" w:hint="eastAsia"/>
          <w:sz w:val="44"/>
          <w:szCs w:val="44"/>
        </w:rPr>
      </w:pPr>
      <w:r w:rsidRPr="004158C8">
        <w:rPr>
          <w:rFonts w:eastAsia="方正小标宋_GBK" w:hint="eastAsia"/>
          <w:sz w:val="44"/>
          <w:szCs w:val="44"/>
        </w:rPr>
        <w:t>2024</w:t>
      </w:r>
      <w:r w:rsidRPr="004158C8">
        <w:rPr>
          <w:rFonts w:eastAsia="方正小标宋_GBK" w:hint="eastAsia"/>
          <w:sz w:val="44"/>
          <w:szCs w:val="44"/>
        </w:rPr>
        <w:t>年度财政决算（草案）的通知</w:t>
      </w:r>
    </w:p>
    <w:p w:rsidR="00BA66FB" w:rsidRPr="004158C8" w:rsidRDefault="00BA66FB" w:rsidP="00BA66FB">
      <w:pPr>
        <w:spacing w:line="578" w:lineRule="exact"/>
        <w:jc w:val="center"/>
        <w:rPr>
          <w:rFonts w:hint="eastAsia"/>
        </w:rPr>
      </w:pPr>
      <w:bookmarkStart w:id="0" w:name="正文文件"/>
      <w:bookmarkStart w:id="1" w:name="_GoBack"/>
      <w:bookmarkEnd w:id="0"/>
      <w:r w:rsidRPr="004158C8">
        <w:rPr>
          <w:rFonts w:hint="eastAsia"/>
        </w:rPr>
        <w:t>渝财库〔</w:t>
      </w:r>
      <w:r w:rsidRPr="004158C8">
        <w:rPr>
          <w:rFonts w:hint="eastAsia"/>
        </w:rPr>
        <w:t>2024</w:t>
      </w:r>
      <w:r w:rsidRPr="004158C8">
        <w:rPr>
          <w:rFonts w:hint="eastAsia"/>
        </w:rPr>
        <w:t>〕</w:t>
      </w:r>
      <w:r w:rsidRPr="004158C8">
        <w:rPr>
          <w:rFonts w:hint="eastAsia"/>
        </w:rPr>
        <w:t>28</w:t>
      </w:r>
      <w:r w:rsidRPr="004158C8">
        <w:rPr>
          <w:rFonts w:hint="eastAsia"/>
        </w:rPr>
        <w:t>号</w:t>
      </w:r>
    </w:p>
    <w:bookmarkEnd w:id="1"/>
    <w:p w:rsidR="00BA66FB" w:rsidRPr="004158C8" w:rsidRDefault="00BA66FB" w:rsidP="00BA66FB">
      <w:pPr>
        <w:spacing w:line="578" w:lineRule="exact"/>
        <w:ind w:firstLineChars="200" w:firstLine="640"/>
      </w:pPr>
    </w:p>
    <w:p w:rsidR="00BA66FB" w:rsidRPr="004158C8" w:rsidRDefault="00BA66FB" w:rsidP="00BA66FB">
      <w:pPr>
        <w:spacing w:line="578" w:lineRule="exact"/>
        <w:rPr>
          <w:rFonts w:hint="eastAsia"/>
        </w:rPr>
      </w:pPr>
      <w:r w:rsidRPr="004158C8">
        <w:rPr>
          <w:rFonts w:hint="eastAsia"/>
        </w:rPr>
        <w:t>各区县（自治县）财政局，两江新区、高新区、万盛经开区财政局：</w:t>
      </w:r>
    </w:p>
    <w:p w:rsidR="00BA66FB" w:rsidRPr="004158C8" w:rsidRDefault="00BA66FB" w:rsidP="00BA66FB">
      <w:pPr>
        <w:spacing w:line="578" w:lineRule="exact"/>
        <w:ind w:firstLineChars="200" w:firstLine="640"/>
        <w:rPr>
          <w:rFonts w:hint="eastAsia"/>
        </w:rPr>
      </w:pPr>
      <w:r w:rsidRPr="004158C8">
        <w:rPr>
          <w:rFonts w:hint="eastAsia"/>
        </w:rPr>
        <w:t>根据《中华人民共和国预算法》、《中华人民共和国预算法实施条例》等有关规定，按照《财政部关于编制</w:t>
      </w:r>
      <w:r w:rsidRPr="004158C8">
        <w:rPr>
          <w:rFonts w:hint="eastAsia"/>
        </w:rPr>
        <w:t>2024</w:t>
      </w:r>
      <w:r w:rsidRPr="004158C8">
        <w:rPr>
          <w:rFonts w:hint="eastAsia"/>
        </w:rPr>
        <w:t>年度中央和地方财政决算（草案）的通知》（财库〔</w:t>
      </w:r>
      <w:r w:rsidRPr="004158C8">
        <w:rPr>
          <w:rFonts w:hint="eastAsia"/>
        </w:rPr>
        <w:t>2024</w:t>
      </w:r>
      <w:r w:rsidRPr="004158C8">
        <w:rPr>
          <w:rFonts w:hint="eastAsia"/>
        </w:rPr>
        <w:t>〕</w:t>
      </w:r>
      <w:r w:rsidRPr="004158C8">
        <w:rPr>
          <w:rFonts w:hint="eastAsia"/>
        </w:rPr>
        <w:t>28</w:t>
      </w:r>
      <w:r w:rsidRPr="004158C8">
        <w:rPr>
          <w:rFonts w:hint="eastAsia"/>
        </w:rPr>
        <w:t>号）和市政府相关要求，现将编制</w:t>
      </w:r>
      <w:r w:rsidRPr="004158C8">
        <w:rPr>
          <w:rFonts w:hint="eastAsia"/>
        </w:rPr>
        <w:t>2024</w:t>
      </w:r>
      <w:r w:rsidRPr="004158C8">
        <w:rPr>
          <w:rFonts w:hint="eastAsia"/>
        </w:rPr>
        <w:t>年度财政决算（草案）有关事项通知如下。</w:t>
      </w:r>
    </w:p>
    <w:p w:rsidR="00BA66FB" w:rsidRPr="004158C8" w:rsidRDefault="00BA66FB" w:rsidP="00BA66FB">
      <w:pPr>
        <w:spacing w:line="578" w:lineRule="exact"/>
        <w:ind w:firstLineChars="200" w:firstLine="640"/>
        <w:rPr>
          <w:rFonts w:eastAsia="方正黑体_GBK" w:hint="eastAsia"/>
        </w:rPr>
      </w:pPr>
      <w:r w:rsidRPr="004158C8">
        <w:rPr>
          <w:rFonts w:eastAsia="方正黑体_GBK" w:hint="eastAsia"/>
        </w:rPr>
        <w:t>一、扎实做好</w:t>
      </w:r>
      <w:r w:rsidRPr="004158C8">
        <w:rPr>
          <w:rFonts w:eastAsia="方正黑体_GBK" w:hint="eastAsia"/>
        </w:rPr>
        <w:t>2024</w:t>
      </w:r>
      <w:r w:rsidRPr="004158C8">
        <w:rPr>
          <w:rFonts w:eastAsia="方正黑体_GBK" w:hint="eastAsia"/>
        </w:rPr>
        <w:t>年度财政决算工作</w:t>
      </w:r>
    </w:p>
    <w:p w:rsidR="00BA66FB" w:rsidRPr="004158C8" w:rsidRDefault="00BA66FB" w:rsidP="00BA66FB">
      <w:pPr>
        <w:spacing w:line="578" w:lineRule="exact"/>
        <w:ind w:firstLineChars="200" w:firstLine="640"/>
        <w:rPr>
          <w:rFonts w:hint="eastAsia"/>
        </w:rPr>
      </w:pPr>
      <w:bookmarkStart w:id="2" w:name="OLE_LINK11"/>
      <w:r w:rsidRPr="004158C8">
        <w:rPr>
          <w:rFonts w:hint="eastAsia"/>
        </w:rPr>
        <w:t>2024</w:t>
      </w:r>
      <w:r w:rsidRPr="004158C8">
        <w:rPr>
          <w:rFonts w:hint="eastAsia"/>
        </w:rPr>
        <w:t>年是中华人民共和国成立</w:t>
      </w:r>
      <w:r w:rsidRPr="004158C8">
        <w:rPr>
          <w:rFonts w:hint="eastAsia"/>
        </w:rPr>
        <w:t>75</w:t>
      </w:r>
      <w:r w:rsidRPr="004158C8">
        <w:rPr>
          <w:rFonts w:hint="eastAsia"/>
        </w:rPr>
        <w:t>周年，是完成“十四五”规划目标任务的关键一年。各区县财政部门要坚持以习近平新时代中国特色社会主义思想为指导，全面贯彻落实党的二十大和二十届二中、三中全会精神，围绕深化财税体制改革的部署要求，高质量完成</w:t>
      </w:r>
      <w:r w:rsidRPr="004158C8">
        <w:rPr>
          <w:rFonts w:hint="eastAsia"/>
        </w:rPr>
        <w:t>2024</w:t>
      </w:r>
      <w:r w:rsidRPr="004158C8">
        <w:rPr>
          <w:rFonts w:hint="eastAsia"/>
        </w:rPr>
        <w:t>年度财政决算各项工作。</w:t>
      </w:r>
    </w:p>
    <w:p w:rsidR="00BA66FB" w:rsidRPr="004158C8" w:rsidRDefault="00BA66FB" w:rsidP="00BA66FB">
      <w:pPr>
        <w:spacing w:line="578" w:lineRule="exact"/>
        <w:ind w:firstLineChars="200" w:firstLine="640"/>
      </w:pPr>
      <w:r w:rsidRPr="004158C8">
        <w:rPr>
          <w:rFonts w:eastAsia="方正楷体_GBK" w:hint="eastAsia"/>
        </w:rPr>
        <w:t>（一）全面反映预算收支。</w:t>
      </w:r>
      <w:r w:rsidRPr="004158C8">
        <w:rPr>
          <w:rFonts w:hint="eastAsia"/>
        </w:rPr>
        <w:t>落实健全预算制度相关要求，加强财政资源和预算统筹，持续推进把依托行政权力、政府信用、国有资源资产获取的收入全部纳入政府预算管理，在决算中完整</w:t>
      </w:r>
      <w:r w:rsidRPr="004158C8">
        <w:rPr>
          <w:rFonts w:hint="eastAsia"/>
        </w:rPr>
        <w:lastRenderedPageBreak/>
        <w:t>反映政府预算收支情况。完善国有资本经营预算管理，严格按收支平衡的原则编制国有资本经营预决算，不列赤字。</w:t>
      </w:r>
    </w:p>
    <w:p w:rsidR="00BA66FB" w:rsidRPr="004158C8" w:rsidRDefault="00BA66FB" w:rsidP="00BA66FB">
      <w:pPr>
        <w:spacing w:line="578" w:lineRule="exact"/>
        <w:ind w:firstLineChars="200" w:firstLine="640"/>
        <w:rPr>
          <w:rFonts w:hint="eastAsia"/>
        </w:rPr>
      </w:pPr>
      <w:r w:rsidRPr="004158C8">
        <w:rPr>
          <w:rFonts w:eastAsia="方正楷体_GBK" w:hint="eastAsia"/>
        </w:rPr>
        <w:t>（二）持续提高决算质量。</w:t>
      </w:r>
      <w:r w:rsidRPr="004158C8">
        <w:rPr>
          <w:rFonts w:hint="eastAsia"/>
        </w:rPr>
        <w:t>落实《财政总会计制度》要求，进一步加强财政总会计核算管理，规范重点核算事项，夯实决算工作基础。各区县财政部门在预算年度终了时，应当组织各部门、各单位及时清理核实全年预算收入、支出数据和往来款项，做好决算数据对账工作。决算各项数据应当以经核实的会计数据为准，不得以估计数据替代，不得弄虚作假。加大决算审核力度，强化合法合规性审核，保障决算数据的真实性和准确性。</w:t>
      </w:r>
    </w:p>
    <w:p w:rsidR="00BA66FB" w:rsidRPr="004158C8" w:rsidRDefault="00BA66FB" w:rsidP="00BA66FB">
      <w:pPr>
        <w:spacing w:line="578" w:lineRule="exact"/>
        <w:ind w:firstLineChars="200" w:firstLine="640"/>
        <w:rPr>
          <w:rFonts w:hint="eastAsia"/>
        </w:rPr>
      </w:pPr>
      <w:r w:rsidRPr="004158C8">
        <w:rPr>
          <w:rFonts w:eastAsia="方正楷体_GBK" w:hint="eastAsia"/>
        </w:rPr>
        <w:t>（三）强化决算分析利用。</w:t>
      </w:r>
      <w:r w:rsidRPr="004158C8">
        <w:rPr>
          <w:rFonts w:hint="eastAsia"/>
        </w:rPr>
        <w:t>加强信息挖掘，用好用活决算数据资源，发挥数据价值，实现数据增值。强化信息反馈，通过决算编审和分析评价，及时发现问题，提出整改建议，督促改进预算编制、严格预算执行、规范财务管理，不断提升预决算管理水平。开展专题研究，加强对经济财政运行、重大财政政策和财税体制改革实施情况跟踪调研，反映新情况，研究新问题，提出新举措，更好发挥决算服务决策的支撑作用。</w:t>
      </w:r>
    </w:p>
    <w:p w:rsidR="00BA66FB" w:rsidRPr="004158C8" w:rsidRDefault="00BA66FB" w:rsidP="00BA66FB">
      <w:pPr>
        <w:spacing w:line="578" w:lineRule="exact"/>
        <w:ind w:firstLineChars="200" w:firstLine="640"/>
        <w:rPr>
          <w:rFonts w:hint="eastAsia"/>
        </w:rPr>
      </w:pPr>
      <w:r w:rsidRPr="004158C8">
        <w:rPr>
          <w:rFonts w:eastAsia="方正楷体_GBK" w:hint="eastAsia"/>
        </w:rPr>
        <w:t>（四）完善决算公开制度。</w:t>
      </w:r>
      <w:r w:rsidRPr="004158C8">
        <w:rPr>
          <w:rFonts w:hint="eastAsia"/>
        </w:rPr>
        <w:t>进一步规范公开内容，优化公开形式，切实做到公开内容找得到、看得懂、能监督。严格执行政府信息公开保密审查制度，加强安全保密管理。落实信息发布、政策解读和政务舆情回应主体责任，加强决算公开舆情研判和新闻宣传，积极回应公众关切，主动接受社会监督。</w:t>
      </w:r>
    </w:p>
    <w:bookmarkEnd w:id="2"/>
    <w:p w:rsidR="00BA66FB" w:rsidRPr="004158C8" w:rsidRDefault="00BA66FB" w:rsidP="00BA66FB">
      <w:pPr>
        <w:spacing w:line="578" w:lineRule="exact"/>
        <w:ind w:firstLineChars="200" w:firstLine="640"/>
        <w:rPr>
          <w:rFonts w:eastAsia="方正黑体_GBK" w:hint="eastAsia"/>
        </w:rPr>
      </w:pPr>
      <w:r w:rsidRPr="004158C8">
        <w:rPr>
          <w:rFonts w:eastAsia="方正黑体_GBK" w:hint="eastAsia"/>
        </w:rPr>
        <w:lastRenderedPageBreak/>
        <w:t>二、有关重点编报事项</w:t>
      </w:r>
    </w:p>
    <w:p w:rsidR="00BA66FB" w:rsidRPr="004158C8" w:rsidRDefault="00BA66FB" w:rsidP="00BA66FB">
      <w:pPr>
        <w:spacing w:line="578" w:lineRule="exact"/>
        <w:ind w:firstLineChars="200" w:firstLine="640"/>
        <w:rPr>
          <w:rFonts w:hint="eastAsia"/>
        </w:rPr>
      </w:pPr>
      <w:r w:rsidRPr="004158C8">
        <w:rPr>
          <w:rFonts w:eastAsia="方正楷体_GBK" w:hint="eastAsia"/>
        </w:rPr>
        <w:t>（一）关于财政收支等有关事项的编报。</w:t>
      </w:r>
      <w:r w:rsidRPr="004158C8">
        <w:rPr>
          <w:rFonts w:hint="eastAsia"/>
        </w:rPr>
        <w:t>按照超长期特别国债资金管理有关规定和科目修订情况，认真做好超长期特别国债资金拨付使用和核算反映工作。规范使用地方政府专项债务收入、支出、还本付息和发行费用相关科目，完整准确反映地方政府债务情况。加强一般公共预算支出经济分类决算编报，准确反映支出的经济性质和具体用途。全面、详细反映部门非财政拨款收入、支出和结转结余情况。进一步完善资产负债、机构人员等内容，做到与政府财务报告和国有资产报告的衔接。</w:t>
      </w:r>
    </w:p>
    <w:p w:rsidR="00BA66FB" w:rsidRPr="004158C8" w:rsidRDefault="00BA66FB" w:rsidP="00BA66FB">
      <w:pPr>
        <w:spacing w:line="578" w:lineRule="exact"/>
        <w:ind w:firstLineChars="200" w:firstLine="640"/>
        <w:rPr>
          <w:rFonts w:hint="eastAsia"/>
        </w:rPr>
      </w:pPr>
      <w:r w:rsidRPr="004158C8">
        <w:rPr>
          <w:rFonts w:eastAsia="方正楷体_GBK" w:hint="eastAsia"/>
        </w:rPr>
        <w:t>（二）关于</w:t>
      </w:r>
      <w:r w:rsidRPr="004158C8">
        <w:rPr>
          <w:rFonts w:eastAsia="方正楷体_GBK" w:hint="eastAsia"/>
        </w:rPr>
        <w:t>2024</w:t>
      </w:r>
      <w:r w:rsidRPr="004158C8">
        <w:rPr>
          <w:rFonts w:eastAsia="方正楷体_GBK" w:hint="eastAsia"/>
        </w:rPr>
        <w:t>年度市与区县财政结算。</w:t>
      </w:r>
      <w:r w:rsidRPr="004158C8">
        <w:rPr>
          <w:rFonts w:hint="eastAsia"/>
        </w:rPr>
        <w:t>2024</w:t>
      </w:r>
      <w:r w:rsidRPr="004158C8">
        <w:rPr>
          <w:rFonts w:hint="eastAsia"/>
        </w:rPr>
        <w:t>年度市与区县财政结算中，属于上解、补助和预算执行中上划、下划、追加、追减的事项，仍按现行财政管理体制的有关规定办理。如实提供数据资料，并事先核对准确无误，以便及时办理结算。各区县财政部门要及时与人民银行国库和主管部门核对数据，为进一步提前市与区县财政结算时间创造条件，原则上市与区县结算事项应于</w:t>
      </w:r>
      <w:r w:rsidRPr="004158C8">
        <w:rPr>
          <w:rFonts w:hint="eastAsia"/>
        </w:rPr>
        <w:t>202</w:t>
      </w:r>
      <w:r>
        <w:t>5</w:t>
      </w:r>
      <w:r w:rsidRPr="004158C8">
        <w:rPr>
          <w:rFonts w:hint="eastAsia"/>
        </w:rPr>
        <w:t>年</w:t>
      </w:r>
      <w:r w:rsidRPr="004158C8">
        <w:rPr>
          <w:rFonts w:hint="eastAsia"/>
        </w:rPr>
        <w:t>1</w:t>
      </w:r>
      <w:r w:rsidRPr="004158C8">
        <w:rPr>
          <w:rFonts w:hint="eastAsia"/>
        </w:rPr>
        <w:t>月</w:t>
      </w:r>
      <w:r w:rsidRPr="004158C8">
        <w:rPr>
          <w:rFonts w:hint="eastAsia"/>
        </w:rPr>
        <w:t>20</w:t>
      </w:r>
      <w:r w:rsidRPr="004158C8">
        <w:rPr>
          <w:rFonts w:hint="eastAsia"/>
        </w:rPr>
        <w:t>日前办理完毕。</w:t>
      </w:r>
    </w:p>
    <w:p w:rsidR="00BA66FB" w:rsidRPr="004158C8" w:rsidRDefault="00BA66FB" w:rsidP="00BA66FB">
      <w:pPr>
        <w:spacing w:line="578" w:lineRule="exact"/>
        <w:ind w:firstLineChars="200" w:firstLine="640"/>
        <w:rPr>
          <w:rFonts w:eastAsia="方正黑体_GBK" w:hint="eastAsia"/>
        </w:rPr>
      </w:pPr>
      <w:r w:rsidRPr="004158C8">
        <w:rPr>
          <w:rFonts w:eastAsia="方正黑体_GBK" w:hint="eastAsia"/>
        </w:rPr>
        <w:t>三、其他事项</w:t>
      </w:r>
    </w:p>
    <w:p w:rsidR="00BA66FB" w:rsidRPr="004158C8" w:rsidRDefault="00BA66FB" w:rsidP="00BA66FB">
      <w:pPr>
        <w:spacing w:line="578" w:lineRule="exact"/>
        <w:ind w:firstLineChars="200" w:firstLine="640"/>
        <w:rPr>
          <w:rFonts w:hint="eastAsia"/>
        </w:rPr>
      </w:pPr>
      <w:r w:rsidRPr="004158C8">
        <w:rPr>
          <w:rFonts w:hint="eastAsia"/>
        </w:rPr>
        <w:t>财政总决算和部门决算报表格式、报送要求等具体编报事宜，市财政局另行发文明确。</w:t>
      </w:r>
    </w:p>
    <w:p w:rsidR="00BA66FB" w:rsidRPr="004158C8" w:rsidRDefault="00BA66FB" w:rsidP="00BA66FB">
      <w:pPr>
        <w:spacing w:line="578" w:lineRule="exact"/>
        <w:ind w:firstLineChars="200" w:firstLine="640"/>
      </w:pPr>
    </w:p>
    <w:p w:rsidR="00BA66FB" w:rsidRPr="004158C8" w:rsidRDefault="00BA66FB" w:rsidP="00BA66FB">
      <w:pPr>
        <w:spacing w:line="578" w:lineRule="exact"/>
      </w:pPr>
    </w:p>
    <w:p w:rsidR="00BA66FB" w:rsidRPr="004158C8" w:rsidRDefault="00BA66FB" w:rsidP="00BA66FB">
      <w:pPr>
        <w:spacing w:line="578" w:lineRule="exact"/>
      </w:pPr>
    </w:p>
    <w:p w:rsidR="00BA66FB" w:rsidRPr="004158C8" w:rsidRDefault="00BA66FB" w:rsidP="00BA66FB">
      <w:pPr>
        <w:spacing w:line="578" w:lineRule="exact"/>
        <w:ind w:firstLineChars="1736" w:firstLine="5555"/>
      </w:pPr>
      <w:r w:rsidRPr="004158C8">
        <w:rPr>
          <w:rFonts w:hint="eastAsia"/>
        </w:rPr>
        <w:t>重庆市财政局</w:t>
      </w:r>
    </w:p>
    <w:p w:rsidR="00BA66FB" w:rsidRPr="004158C8" w:rsidRDefault="00BA66FB" w:rsidP="00BA66FB">
      <w:pPr>
        <w:spacing w:line="578" w:lineRule="exact"/>
        <w:ind w:firstLineChars="1658" w:firstLine="5306"/>
      </w:pPr>
      <w:r w:rsidRPr="004158C8">
        <w:rPr>
          <w:rFonts w:hint="eastAsia"/>
        </w:rPr>
        <w:t>20</w:t>
      </w:r>
      <w:r w:rsidRPr="004158C8">
        <w:t>24</w:t>
      </w:r>
      <w:r w:rsidRPr="004158C8">
        <w:rPr>
          <w:rFonts w:hint="eastAsia"/>
        </w:rPr>
        <w:t>年</w:t>
      </w:r>
      <w:r w:rsidRPr="004158C8">
        <w:t>12</w:t>
      </w:r>
      <w:r w:rsidRPr="004158C8">
        <w:rPr>
          <w:rFonts w:hint="eastAsia"/>
        </w:rPr>
        <w:t>月</w:t>
      </w:r>
      <w:r w:rsidRPr="004158C8">
        <w:t>31</w:t>
      </w:r>
      <w:r w:rsidRPr="004158C8">
        <w:rPr>
          <w:rFonts w:hint="eastAsia"/>
        </w:rPr>
        <w:t>日</w:t>
      </w:r>
    </w:p>
    <w:p w:rsidR="00BA66FB" w:rsidRPr="004158C8" w:rsidRDefault="00BA66FB" w:rsidP="00BA66FB">
      <w:pPr>
        <w:spacing w:line="578" w:lineRule="exact"/>
        <w:ind w:firstLineChars="200" w:firstLine="640"/>
      </w:pPr>
      <w:r w:rsidRPr="004158C8">
        <w:rPr>
          <w:rFonts w:hint="eastAsia"/>
        </w:rPr>
        <w:t>（此件主动公开</w:t>
      </w:r>
      <w:r w:rsidRPr="004158C8">
        <w:t>）</w:t>
      </w:r>
    </w:p>
    <w:p w:rsidR="00F72FE6" w:rsidRPr="00BA66FB" w:rsidRDefault="00F72FE6" w:rsidP="00BA66FB">
      <w:pPr>
        <w:spacing w:line="578" w:lineRule="exact"/>
      </w:pPr>
    </w:p>
    <w:sectPr w:rsidR="00F72FE6" w:rsidRPr="00BA66FB"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83A" w:rsidRDefault="000E383A">
      <w:pPr>
        <w:spacing w:line="240" w:lineRule="auto"/>
      </w:pPr>
      <w:r>
        <w:separator/>
      </w:r>
    </w:p>
  </w:endnote>
  <w:endnote w:type="continuationSeparator" w:id="0">
    <w:p w:rsidR="000E383A" w:rsidRDefault="000E38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00CF5059-FEC8-4002-B870-0E94664D834F}"/>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7840DE57-D114-4FB4-92EE-59F667586340}"/>
  </w:font>
  <w:font w:name="方正黑体_GBK">
    <w:panose1 w:val="03000509000000000000"/>
    <w:charset w:val="86"/>
    <w:family w:val="script"/>
    <w:pitch w:val="fixed"/>
    <w:sig w:usb0="00000001" w:usb1="080E0000" w:usb2="00000010" w:usb3="00000000" w:csb0="00040000" w:csb1="00000000"/>
    <w:embedRegular r:id="rId3" w:subsetted="1" w:fontKey="{18005AE2-8340-4B2E-8416-F181DD3B7D35}"/>
  </w:font>
  <w:font w:name="方正楷体_GBK">
    <w:panose1 w:val="03000509000000000000"/>
    <w:charset w:val="86"/>
    <w:family w:val="script"/>
    <w:pitch w:val="fixed"/>
    <w:sig w:usb0="00000001" w:usb1="080E0000" w:usb2="00000010" w:usb3="00000000" w:csb0="00040000" w:csb1="00000000"/>
    <w:embedRegular r:id="rId4" w:subsetted="1" w:fontKey="{107FD63B-1190-44E3-8610-34C56147EDD8}"/>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A66F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A66F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83A" w:rsidRDefault="000E383A">
      <w:pPr>
        <w:spacing w:line="240" w:lineRule="auto"/>
      </w:pPr>
      <w:r>
        <w:separator/>
      </w:r>
    </w:p>
  </w:footnote>
  <w:footnote w:type="continuationSeparator" w:id="0">
    <w:p w:rsidR="000E383A" w:rsidRDefault="000E38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cx="http://schemas.microsoft.com/office/drawing/2014/chartex" xmlns:w16se="http://schemas.microsoft.com/office/word/2015/wordml/sym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B3"/>
    <w:rsid w:val="00082E38"/>
    <w:rsid w:val="000C2C04"/>
    <w:rsid w:val="000E383A"/>
    <w:rsid w:val="00100343"/>
    <w:rsid w:val="001017F0"/>
    <w:rsid w:val="0010405A"/>
    <w:rsid w:val="001059C0"/>
    <w:rsid w:val="0011379E"/>
    <w:rsid w:val="001272E5"/>
    <w:rsid w:val="00130E03"/>
    <w:rsid w:val="001504F6"/>
    <w:rsid w:val="00172A27"/>
    <w:rsid w:val="00180CA0"/>
    <w:rsid w:val="001815C9"/>
    <w:rsid w:val="001924CF"/>
    <w:rsid w:val="0019360C"/>
    <w:rsid w:val="00193AF5"/>
    <w:rsid w:val="00193ECF"/>
    <w:rsid w:val="001A38B7"/>
    <w:rsid w:val="001A4AC6"/>
    <w:rsid w:val="001B1116"/>
    <w:rsid w:val="001B3E84"/>
    <w:rsid w:val="001D7C26"/>
    <w:rsid w:val="001E0489"/>
    <w:rsid w:val="001E1D4F"/>
    <w:rsid w:val="001E2355"/>
    <w:rsid w:val="00203ADD"/>
    <w:rsid w:val="00204E52"/>
    <w:rsid w:val="00230672"/>
    <w:rsid w:val="002423F8"/>
    <w:rsid w:val="00256DDF"/>
    <w:rsid w:val="0026289F"/>
    <w:rsid w:val="00262A59"/>
    <w:rsid w:val="002A389B"/>
    <w:rsid w:val="002A6CF6"/>
    <w:rsid w:val="002A6FC8"/>
    <w:rsid w:val="002B17E3"/>
    <w:rsid w:val="002B7553"/>
    <w:rsid w:val="002E7DF5"/>
    <w:rsid w:val="00304C92"/>
    <w:rsid w:val="00351D0B"/>
    <w:rsid w:val="00353EE7"/>
    <w:rsid w:val="00354A68"/>
    <w:rsid w:val="00357AAF"/>
    <w:rsid w:val="00383443"/>
    <w:rsid w:val="003D4C0E"/>
    <w:rsid w:val="003E1D20"/>
    <w:rsid w:val="003E4E1E"/>
    <w:rsid w:val="003F3555"/>
    <w:rsid w:val="003F49A8"/>
    <w:rsid w:val="004073C4"/>
    <w:rsid w:val="00434575"/>
    <w:rsid w:val="00437936"/>
    <w:rsid w:val="004B1F7E"/>
    <w:rsid w:val="004B4486"/>
    <w:rsid w:val="004B49C5"/>
    <w:rsid w:val="004B7FAA"/>
    <w:rsid w:val="004D1EB5"/>
    <w:rsid w:val="004E03E8"/>
    <w:rsid w:val="005067C1"/>
    <w:rsid w:val="00512BCF"/>
    <w:rsid w:val="00512CFC"/>
    <w:rsid w:val="00513FE3"/>
    <w:rsid w:val="00541F41"/>
    <w:rsid w:val="00597E69"/>
    <w:rsid w:val="005A6704"/>
    <w:rsid w:val="005D0DB0"/>
    <w:rsid w:val="005E0EF8"/>
    <w:rsid w:val="005E2BCD"/>
    <w:rsid w:val="005E308C"/>
    <w:rsid w:val="00610F2D"/>
    <w:rsid w:val="00621C64"/>
    <w:rsid w:val="00643807"/>
    <w:rsid w:val="006509F5"/>
    <w:rsid w:val="006512E1"/>
    <w:rsid w:val="0067679D"/>
    <w:rsid w:val="006878C8"/>
    <w:rsid w:val="006C4FC3"/>
    <w:rsid w:val="006D3F8F"/>
    <w:rsid w:val="007057D0"/>
    <w:rsid w:val="00710C4C"/>
    <w:rsid w:val="00716960"/>
    <w:rsid w:val="00757A08"/>
    <w:rsid w:val="00796AED"/>
    <w:rsid w:val="007A0922"/>
    <w:rsid w:val="007A549F"/>
    <w:rsid w:val="007D7601"/>
    <w:rsid w:val="007E0D2E"/>
    <w:rsid w:val="007E186E"/>
    <w:rsid w:val="007F6458"/>
    <w:rsid w:val="008240CA"/>
    <w:rsid w:val="008305EC"/>
    <w:rsid w:val="00844EE4"/>
    <w:rsid w:val="00850C21"/>
    <w:rsid w:val="0085102D"/>
    <w:rsid w:val="0087698F"/>
    <w:rsid w:val="0089183E"/>
    <w:rsid w:val="00894C52"/>
    <w:rsid w:val="00894FC8"/>
    <w:rsid w:val="00896002"/>
    <w:rsid w:val="008A488B"/>
    <w:rsid w:val="008B2519"/>
    <w:rsid w:val="008B3173"/>
    <w:rsid w:val="008B5717"/>
    <w:rsid w:val="008B6879"/>
    <w:rsid w:val="008C58E3"/>
    <w:rsid w:val="008F119F"/>
    <w:rsid w:val="008F3872"/>
    <w:rsid w:val="009242B2"/>
    <w:rsid w:val="009247F0"/>
    <w:rsid w:val="00924A04"/>
    <w:rsid w:val="009457AD"/>
    <w:rsid w:val="00953900"/>
    <w:rsid w:val="00960902"/>
    <w:rsid w:val="009650E8"/>
    <w:rsid w:val="009B2B40"/>
    <w:rsid w:val="009B39FC"/>
    <w:rsid w:val="009B6DE3"/>
    <w:rsid w:val="009C1D53"/>
    <w:rsid w:val="009D7357"/>
    <w:rsid w:val="009F7988"/>
    <w:rsid w:val="00A0470C"/>
    <w:rsid w:val="00A2600B"/>
    <w:rsid w:val="00A33013"/>
    <w:rsid w:val="00A34887"/>
    <w:rsid w:val="00A40D9D"/>
    <w:rsid w:val="00A43229"/>
    <w:rsid w:val="00A446D2"/>
    <w:rsid w:val="00A860D2"/>
    <w:rsid w:val="00A92DD2"/>
    <w:rsid w:val="00A930AF"/>
    <w:rsid w:val="00AA0CAE"/>
    <w:rsid w:val="00AB1CDC"/>
    <w:rsid w:val="00B00990"/>
    <w:rsid w:val="00B4705A"/>
    <w:rsid w:val="00B570F0"/>
    <w:rsid w:val="00B67B15"/>
    <w:rsid w:val="00BA0453"/>
    <w:rsid w:val="00BA66FB"/>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82C2E"/>
    <w:rsid w:val="00C84BE2"/>
    <w:rsid w:val="00CB2CCF"/>
    <w:rsid w:val="00CC4066"/>
    <w:rsid w:val="00CC6986"/>
    <w:rsid w:val="00CC7EC5"/>
    <w:rsid w:val="00CE3EAC"/>
    <w:rsid w:val="00CF525F"/>
    <w:rsid w:val="00D075B5"/>
    <w:rsid w:val="00D172B6"/>
    <w:rsid w:val="00D621CC"/>
    <w:rsid w:val="00DA5409"/>
    <w:rsid w:val="00DB2465"/>
    <w:rsid w:val="00DB300D"/>
    <w:rsid w:val="00DC5A29"/>
    <w:rsid w:val="00DC753A"/>
    <w:rsid w:val="00DE3B57"/>
    <w:rsid w:val="00DE5B1C"/>
    <w:rsid w:val="00E2641F"/>
    <w:rsid w:val="00E35997"/>
    <w:rsid w:val="00E46A6A"/>
    <w:rsid w:val="00E47B03"/>
    <w:rsid w:val="00E54327"/>
    <w:rsid w:val="00E55F89"/>
    <w:rsid w:val="00E6185D"/>
    <w:rsid w:val="00E65056"/>
    <w:rsid w:val="00E67507"/>
    <w:rsid w:val="00E70B04"/>
    <w:rsid w:val="00E80CCB"/>
    <w:rsid w:val="00E8116B"/>
    <w:rsid w:val="00E83D63"/>
    <w:rsid w:val="00E97F10"/>
    <w:rsid w:val="00EA6DB7"/>
    <w:rsid w:val="00EF44DC"/>
    <w:rsid w:val="00F0546A"/>
    <w:rsid w:val="00F36C4B"/>
    <w:rsid w:val="00F72FE6"/>
    <w:rsid w:val="00F9216F"/>
    <w:rsid w:val="00FA1057"/>
    <w:rsid w:val="00FA17D2"/>
    <w:rsid w:val="00FA4C38"/>
    <w:rsid w:val="00FC72B3"/>
    <w:rsid w:val="00FD1A8C"/>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0"/>
    <w:rsid w:val="00082E38"/>
    <w:pPr>
      <w:adjustRightInd/>
      <w:spacing w:line="240" w:lineRule="auto"/>
      <w:ind w:leftChars="2500" w:left="100"/>
      <w:textAlignment w:val="auto"/>
    </w:pPr>
    <w:rPr>
      <w:kern w:val="2"/>
      <w:szCs w:val="20"/>
    </w:rPr>
  </w:style>
  <w:style w:type="character" w:customStyle="1" w:styleId="Char0">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1"/>
    <w:rsid w:val="00894FC8"/>
    <w:pPr>
      <w:spacing w:line="240" w:lineRule="auto"/>
    </w:pPr>
    <w:rPr>
      <w:sz w:val="18"/>
      <w:szCs w:val="18"/>
    </w:rPr>
  </w:style>
  <w:style w:type="character" w:customStyle="1" w:styleId="Char1">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2022-05-12T00:46:00Z</cp:lastPrinted>
  <dcterms:created xsi:type="dcterms:W3CDTF">2025-01-03T10:54:00Z</dcterms:created>
  <dcterms:modified xsi:type="dcterms:W3CDTF">2025-01-03T10:54:00Z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