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14" w:rsidRDefault="00566014" w:rsidP="00566014">
      <w:pPr>
        <w:pStyle w:val="a0"/>
      </w:pPr>
    </w:p>
    <w:tbl>
      <w:tblPr>
        <w:tblW w:w="0" w:type="auto"/>
        <w:jc w:val="center"/>
        <w:tblLook w:val="04A0" w:firstRow="1" w:lastRow="0" w:firstColumn="1" w:lastColumn="0" w:noHBand="0" w:noVBand="1"/>
      </w:tblPr>
      <w:tblGrid>
        <w:gridCol w:w="4658"/>
      </w:tblGrid>
      <w:tr w:rsidR="00FC42A9" w:rsidTr="00FC42A9">
        <w:trPr>
          <w:trHeight w:val="461"/>
          <w:jc w:val="center"/>
        </w:trPr>
        <w:tc>
          <w:tcPr>
            <w:tcW w:w="4658" w:type="dxa"/>
            <w:hideMark/>
          </w:tcPr>
          <w:p w:rsidR="00FC42A9" w:rsidRDefault="00FC42A9">
            <w:pPr>
              <w:spacing w:line="578" w:lineRule="exact"/>
              <w:jc w:val="distribute"/>
              <w:rPr>
                <w:rFonts w:eastAsia="方正小标宋_GBK"/>
                <w:sz w:val="44"/>
                <w:szCs w:val="44"/>
              </w:rPr>
            </w:pPr>
            <w:r>
              <w:rPr>
                <w:rFonts w:eastAsia="方正小标宋_GBK" w:hint="eastAsia"/>
                <w:sz w:val="44"/>
                <w:szCs w:val="44"/>
              </w:rPr>
              <w:t>重庆市财政局</w:t>
            </w:r>
          </w:p>
        </w:tc>
      </w:tr>
      <w:tr w:rsidR="00FC42A9" w:rsidTr="00FC42A9">
        <w:trPr>
          <w:trHeight w:val="471"/>
          <w:jc w:val="center"/>
        </w:trPr>
        <w:tc>
          <w:tcPr>
            <w:tcW w:w="4658" w:type="dxa"/>
            <w:hideMark/>
          </w:tcPr>
          <w:p w:rsidR="00FC42A9" w:rsidRDefault="00FC42A9">
            <w:pPr>
              <w:spacing w:line="578" w:lineRule="exact"/>
              <w:jc w:val="distribute"/>
              <w:rPr>
                <w:rFonts w:eastAsia="方正小标宋_GBK"/>
                <w:sz w:val="44"/>
                <w:szCs w:val="44"/>
              </w:rPr>
            </w:pPr>
            <w:r>
              <w:rPr>
                <w:rFonts w:eastAsia="方正小标宋_GBK" w:hint="eastAsia"/>
                <w:sz w:val="44"/>
                <w:szCs w:val="44"/>
              </w:rPr>
              <w:t>重庆市农业农村委员会</w:t>
            </w:r>
          </w:p>
        </w:tc>
      </w:tr>
      <w:tr w:rsidR="00FC42A9" w:rsidTr="00FC42A9">
        <w:trPr>
          <w:trHeight w:val="461"/>
          <w:jc w:val="center"/>
        </w:trPr>
        <w:tc>
          <w:tcPr>
            <w:tcW w:w="4658" w:type="dxa"/>
            <w:hideMark/>
          </w:tcPr>
          <w:p w:rsidR="00FC42A9" w:rsidRDefault="00FC42A9">
            <w:pPr>
              <w:spacing w:line="578" w:lineRule="exact"/>
              <w:jc w:val="distribute"/>
              <w:rPr>
                <w:rFonts w:eastAsia="方正小标宋_GBK"/>
                <w:sz w:val="44"/>
                <w:szCs w:val="44"/>
              </w:rPr>
            </w:pPr>
            <w:r>
              <w:rPr>
                <w:rFonts w:eastAsia="方正小标宋_GBK" w:hint="eastAsia"/>
                <w:sz w:val="44"/>
                <w:szCs w:val="44"/>
              </w:rPr>
              <w:t>重庆市林业局</w:t>
            </w:r>
          </w:p>
        </w:tc>
      </w:tr>
    </w:tbl>
    <w:p w:rsidR="00FC42A9" w:rsidRDefault="00FC42A9" w:rsidP="00FC42A9">
      <w:pPr>
        <w:spacing w:line="578" w:lineRule="exact"/>
        <w:jc w:val="center"/>
        <w:rPr>
          <w:rFonts w:eastAsia="方正小标宋_GBK"/>
          <w:kern w:val="2"/>
          <w:sz w:val="44"/>
          <w:szCs w:val="44"/>
        </w:rPr>
      </w:pPr>
      <w:r>
        <w:rPr>
          <w:rFonts w:eastAsia="方正小标宋_GBK" w:hint="eastAsia"/>
          <w:sz w:val="44"/>
          <w:szCs w:val="44"/>
        </w:rPr>
        <w:t>关于调整惠民惠农财政补贴资金“一卡通”</w:t>
      </w:r>
    </w:p>
    <w:p w:rsidR="00FC42A9" w:rsidRDefault="00FC42A9" w:rsidP="00FC42A9">
      <w:pPr>
        <w:spacing w:line="578" w:lineRule="exact"/>
        <w:jc w:val="center"/>
        <w:rPr>
          <w:rFonts w:eastAsia="方正小标宋_GBK"/>
          <w:sz w:val="44"/>
          <w:szCs w:val="44"/>
        </w:rPr>
      </w:pPr>
      <w:r>
        <w:rPr>
          <w:rFonts w:eastAsia="方正小标宋_GBK" w:hint="eastAsia"/>
          <w:sz w:val="44"/>
          <w:szCs w:val="44"/>
        </w:rPr>
        <w:t>政策清单（规定部分）的通知</w:t>
      </w:r>
    </w:p>
    <w:p w:rsidR="00FC42A9" w:rsidRPr="00FC42A9" w:rsidRDefault="00FC42A9" w:rsidP="00FC42A9">
      <w:pPr>
        <w:pStyle w:val="a0"/>
        <w:jc w:val="center"/>
        <w:rPr>
          <w:rFonts w:ascii="楷体" w:eastAsia="楷体" w:hAnsi="楷体" w:hint="eastAsia"/>
        </w:rPr>
      </w:pPr>
      <w:bookmarkStart w:id="0" w:name="_GoBack"/>
      <w:r w:rsidRPr="00FC42A9">
        <w:rPr>
          <w:rFonts w:ascii="楷体" w:eastAsia="楷体" w:hAnsi="楷体" w:hint="eastAsia"/>
        </w:rPr>
        <w:t>渝财农〔</w:t>
      </w:r>
      <w:r w:rsidRPr="00FC42A9">
        <w:rPr>
          <w:rFonts w:ascii="楷体" w:eastAsia="楷体" w:hAnsi="楷体"/>
        </w:rPr>
        <w:t>2024</w:t>
      </w:r>
      <w:r w:rsidRPr="00FC42A9">
        <w:rPr>
          <w:rFonts w:ascii="楷体" w:eastAsia="楷体" w:hAnsi="楷体" w:hint="eastAsia"/>
        </w:rPr>
        <w:t>〕</w:t>
      </w:r>
      <w:r w:rsidRPr="00FC42A9">
        <w:rPr>
          <w:rFonts w:ascii="楷体" w:eastAsia="楷体" w:hAnsi="楷体"/>
        </w:rPr>
        <w:t>133</w:t>
      </w:r>
      <w:r w:rsidRPr="00FC42A9">
        <w:rPr>
          <w:rFonts w:ascii="楷体" w:eastAsia="楷体" w:hAnsi="楷体" w:hint="eastAsia"/>
        </w:rPr>
        <w:t>号</w:t>
      </w:r>
    </w:p>
    <w:bookmarkEnd w:id="0"/>
    <w:p w:rsidR="00FC42A9" w:rsidRDefault="00FC42A9" w:rsidP="00FC42A9">
      <w:pPr>
        <w:spacing w:line="578" w:lineRule="exact"/>
        <w:ind w:firstLineChars="200" w:firstLine="640"/>
        <w:rPr>
          <w:szCs w:val="20"/>
        </w:rPr>
      </w:pPr>
    </w:p>
    <w:p w:rsidR="00FC42A9" w:rsidRDefault="00FC42A9" w:rsidP="00FC42A9">
      <w:pPr>
        <w:spacing w:line="578" w:lineRule="exact"/>
      </w:pPr>
      <w:r>
        <w:rPr>
          <w:rFonts w:hint="eastAsia"/>
        </w:rPr>
        <w:t>各区县（自治县，两江新区、西部科学城重庆高新区、万盛经开区）财政局、农业农村委（民政事务中心、公共服务局）、林业局（农林局）：</w:t>
      </w:r>
    </w:p>
    <w:p w:rsidR="00FC42A9" w:rsidRDefault="00FC42A9" w:rsidP="00FC42A9">
      <w:pPr>
        <w:spacing w:line="600" w:lineRule="exact"/>
        <w:ind w:firstLineChars="200" w:firstLine="640"/>
      </w:pPr>
      <w:r>
        <w:rPr>
          <w:rFonts w:hint="eastAsia"/>
        </w:rPr>
        <w:t>根据财政部等</w:t>
      </w:r>
      <w:r>
        <w:t>7</w:t>
      </w:r>
      <w:r>
        <w:rPr>
          <w:rFonts w:hint="eastAsia"/>
        </w:rPr>
        <w:t>部委《关于进一步加强惠民惠农财政补贴资金“一卡通”管理的指导意见》（财办〔</w:t>
      </w:r>
      <w:r>
        <w:t>2020</w:t>
      </w:r>
      <w:r>
        <w:rPr>
          <w:rFonts w:hint="eastAsia"/>
        </w:rPr>
        <w:t>〕</w:t>
      </w:r>
      <w:r>
        <w:t>37</w:t>
      </w:r>
      <w:r>
        <w:rPr>
          <w:rFonts w:hint="eastAsia"/>
        </w:rPr>
        <w:t>号）、重庆市财政局等</w:t>
      </w:r>
      <w:r>
        <w:t>12</w:t>
      </w:r>
      <w:r>
        <w:rPr>
          <w:rFonts w:hint="eastAsia"/>
        </w:rPr>
        <w:t>部门《关于进一步加强惠民惠农财政补贴资金“一卡通”管理的通知》（渝财农〔</w:t>
      </w:r>
      <w:r>
        <w:t>2021</w:t>
      </w:r>
      <w:r>
        <w:rPr>
          <w:rFonts w:hint="eastAsia"/>
        </w:rPr>
        <w:t>〕</w:t>
      </w:r>
      <w:r>
        <w:t>61</w:t>
      </w:r>
      <w:r>
        <w:rPr>
          <w:rFonts w:hint="eastAsia"/>
        </w:rPr>
        <w:t>号）、重庆市财政局等</w:t>
      </w:r>
      <w:r>
        <w:t>12</w:t>
      </w:r>
      <w:r>
        <w:rPr>
          <w:rFonts w:hint="eastAsia"/>
        </w:rPr>
        <w:t>部门《关于做好惠民惠农财政补贴信息公开工作的通知》（渝财农〔</w:t>
      </w:r>
      <w:r>
        <w:t>2023</w:t>
      </w:r>
      <w:r>
        <w:rPr>
          <w:rFonts w:hint="eastAsia"/>
        </w:rPr>
        <w:t>〕</w:t>
      </w:r>
      <w:r>
        <w:t>9</w:t>
      </w:r>
      <w:r>
        <w:rPr>
          <w:rFonts w:hint="eastAsia"/>
        </w:rPr>
        <w:t>号）、重庆市财政局等</w:t>
      </w:r>
      <w:r>
        <w:t>13</w:t>
      </w:r>
      <w:r>
        <w:rPr>
          <w:rFonts w:hint="eastAsia"/>
        </w:rPr>
        <w:t>部门《关于印发重庆市惠民惠农财政补贴资金“一卡通”管理暂行办法的通知》（渝财规〔</w:t>
      </w:r>
      <w:r>
        <w:t>2023</w:t>
      </w:r>
      <w:r>
        <w:rPr>
          <w:rFonts w:hint="eastAsia"/>
        </w:rPr>
        <w:t>〕</w:t>
      </w:r>
      <w:r>
        <w:t>6</w:t>
      </w:r>
      <w:r>
        <w:rPr>
          <w:rFonts w:hint="eastAsia"/>
        </w:rPr>
        <w:t>号）等文件规定，结合我市实际，现对《重庆市纳入惠民惠农财政补贴资金“一卡通”政策清单（规定部分）》进行动态调整：</w:t>
      </w:r>
    </w:p>
    <w:p w:rsidR="00FC42A9" w:rsidRDefault="00FC42A9" w:rsidP="00FC42A9">
      <w:pPr>
        <w:spacing w:line="600" w:lineRule="exact"/>
        <w:ind w:firstLineChars="200" w:firstLine="640"/>
      </w:pPr>
      <w:r>
        <w:rPr>
          <w:rFonts w:hint="eastAsia"/>
        </w:rPr>
        <w:lastRenderedPageBreak/>
        <w:t>一、新增</w:t>
      </w:r>
      <w:r>
        <w:t>5</w:t>
      </w:r>
      <w:r>
        <w:rPr>
          <w:rFonts w:hint="eastAsia"/>
        </w:rPr>
        <w:t>项：强制免疫（先打后报）补助资金；集中无害化处理（养殖环节）补助资金；强制扑杀补助资金；生态护林员管护补助资金；非国有天然商品林停伐管护补助资金。</w:t>
      </w:r>
    </w:p>
    <w:p w:rsidR="00FC42A9" w:rsidRDefault="00FC42A9" w:rsidP="00FC42A9">
      <w:pPr>
        <w:spacing w:line="600" w:lineRule="exact"/>
        <w:ind w:firstLineChars="200" w:firstLine="640"/>
      </w:pPr>
      <w:r>
        <w:rPr>
          <w:rFonts w:hint="eastAsia"/>
        </w:rPr>
        <w:t>二、更名</w:t>
      </w:r>
      <w:r>
        <w:t>1</w:t>
      </w:r>
      <w:r>
        <w:rPr>
          <w:rFonts w:hint="eastAsia"/>
        </w:rPr>
        <w:t>项：原第二轮退耕还林直补退耕农户资金更名为第二轮退耕还林还草直补退耕农户资金。</w:t>
      </w:r>
    </w:p>
    <w:p w:rsidR="00FC42A9" w:rsidRDefault="00FC42A9" w:rsidP="00FC42A9">
      <w:pPr>
        <w:spacing w:line="600" w:lineRule="exact"/>
        <w:ind w:firstLineChars="200" w:firstLine="640"/>
      </w:pPr>
      <w:r>
        <w:rPr>
          <w:rFonts w:hint="eastAsia"/>
        </w:rPr>
        <w:t>各区县要按照财政部等七部委《关于进一步加强惠民惠农财政补贴资金“一卡通”管理的指导意见》（财办〔</w:t>
      </w:r>
      <w:r>
        <w:t>2020</w:t>
      </w:r>
      <w:r>
        <w:rPr>
          <w:rFonts w:hint="eastAsia"/>
        </w:rPr>
        <w:t>〕</w:t>
      </w:r>
      <w:r>
        <w:t>37</w:t>
      </w:r>
      <w:r>
        <w:rPr>
          <w:rFonts w:hint="eastAsia"/>
        </w:rPr>
        <w:t>号）等文件规定，进一步提高认识、明确责任、严格管理，切实抓好惠民惠农财政补贴资金“一卡通”管理各项工作要求的落实，确保各项惠民惠农政策落地见效。</w:t>
      </w:r>
    </w:p>
    <w:p w:rsidR="00FC42A9" w:rsidRDefault="00FC42A9" w:rsidP="00FC42A9">
      <w:pPr>
        <w:spacing w:line="600" w:lineRule="exact"/>
        <w:ind w:firstLineChars="200" w:firstLine="640"/>
      </w:pPr>
    </w:p>
    <w:p w:rsidR="00FC42A9" w:rsidRDefault="00FC42A9" w:rsidP="00FC42A9">
      <w:pPr>
        <w:spacing w:line="600" w:lineRule="exact"/>
        <w:ind w:firstLineChars="200" w:firstLine="640"/>
      </w:pPr>
      <w:r>
        <w:rPr>
          <w:rFonts w:hint="eastAsia"/>
        </w:rPr>
        <w:t>附件：重庆市纳入惠民惠农财政补贴资金“一卡通”政策清</w:t>
      </w:r>
    </w:p>
    <w:p w:rsidR="00FC42A9" w:rsidRDefault="00FC42A9" w:rsidP="00FC42A9">
      <w:pPr>
        <w:spacing w:line="600" w:lineRule="exact"/>
        <w:ind w:firstLineChars="481" w:firstLine="1539"/>
      </w:pPr>
      <w:r>
        <w:rPr>
          <w:rFonts w:hint="eastAsia"/>
        </w:rPr>
        <w:t>单（规定部分）</w:t>
      </w:r>
    </w:p>
    <w:p w:rsidR="00FC42A9" w:rsidRDefault="00FC42A9" w:rsidP="00FC42A9">
      <w:pPr>
        <w:spacing w:line="578" w:lineRule="exact"/>
        <w:ind w:firstLineChars="200" w:firstLine="640"/>
      </w:pPr>
    </w:p>
    <w:p w:rsidR="00FC42A9" w:rsidRDefault="00FC42A9" w:rsidP="00FC42A9">
      <w:pPr>
        <w:spacing w:line="578" w:lineRule="exact"/>
        <w:rPr>
          <w:rFonts w:hint="eastAsia"/>
        </w:rPr>
      </w:pPr>
    </w:p>
    <w:p w:rsidR="00FC42A9" w:rsidRDefault="00FC42A9" w:rsidP="00FC42A9">
      <w:pPr>
        <w:spacing w:line="578" w:lineRule="exact"/>
        <w:jc w:val="right"/>
        <w:rPr>
          <w:rFonts w:hint="eastAsia"/>
        </w:rPr>
      </w:pPr>
      <w:r>
        <w:rPr>
          <w:rFonts w:hint="eastAsia"/>
        </w:rPr>
        <w:t>重庆市财政局</w:t>
      </w:r>
      <w:r>
        <w:t xml:space="preserve">       </w:t>
      </w:r>
      <w:r>
        <w:rPr>
          <w:rFonts w:hint="eastAsia"/>
        </w:rPr>
        <w:t>重庆市农业农村委员会</w:t>
      </w:r>
    </w:p>
    <w:p w:rsidR="00FC42A9" w:rsidRDefault="00FC42A9" w:rsidP="00FC42A9">
      <w:pPr>
        <w:spacing w:line="578" w:lineRule="exact"/>
        <w:jc w:val="right"/>
      </w:pPr>
      <w:r>
        <w:rPr>
          <w:rFonts w:hint="eastAsia"/>
        </w:rPr>
        <w:t>重庆市林业局</w:t>
      </w:r>
    </w:p>
    <w:p w:rsidR="00FC42A9" w:rsidRDefault="00FC42A9" w:rsidP="00FC42A9">
      <w:pPr>
        <w:spacing w:line="578" w:lineRule="exact"/>
        <w:jc w:val="right"/>
      </w:pPr>
      <w:r>
        <w:t>2024</w:t>
      </w:r>
      <w:r>
        <w:rPr>
          <w:rFonts w:hint="eastAsia"/>
        </w:rPr>
        <w:t>年</w:t>
      </w:r>
      <w:r>
        <w:t>12</w:t>
      </w:r>
      <w:r>
        <w:rPr>
          <w:rFonts w:hint="eastAsia"/>
        </w:rPr>
        <w:t>月</w:t>
      </w:r>
      <w:r>
        <w:t>23</w:t>
      </w:r>
      <w:r>
        <w:rPr>
          <w:rFonts w:hint="eastAsia"/>
        </w:rPr>
        <w:t>日</w:t>
      </w:r>
    </w:p>
    <w:p w:rsidR="00FC42A9" w:rsidRPr="00FC42A9" w:rsidRDefault="00FC42A9" w:rsidP="00FC42A9">
      <w:pPr>
        <w:pStyle w:val="a0"/>
        <w:rPr>
          <w:rFonts w:hint="eastAsia"/>
        </w:rPr>
      </w:pPr>
    </w:p>
    <w:p w:rsidR="00FC42A9" w:rsidRDefault="00FC42A9" w:rsidP="00FC42A9">
      <w:pPr>
        <w:spacing w:line="578" w:lineRule="exact"/>
        <w:ind w:firstLineChars="200" w:firstLine="640"/>
      </w:pPr>
      <w:r>
        <w:rPr>
          <w:rFonts w:hint="eastAsia"/>
        </w:rPr>
        <w:t>（此件主动公开）</w:t>
      </w:r>
    </w:p>
    <w:p w:rsidR="00FC42A9" w:rsidRDefault="00FC42A9">
      <w:pPr>
        <w:widowControl/>
        <w:adjustRightInd/>
        <w:spacing w:line="240" w:lineRule="auto"/>
        <w:jc w:val="left"/>
        <w:textAlignment w:val="auto"/>
      </w:pPr>
      <w:r>
        <w:br w:type="page"/>
      </w:r>
    </w:p>
    <w:p w:rsidR="00FC42A9" w:rsidRDefault="00FC42A9" w:rsidP="00FC42A9">
      <w:pPr>
        <w:spacing w:line="578" w:lineRule="exact"/>
        <w:rPr>
          <w:rFonts w:eastAsia="方正黑体_GBK"/>
          <w:szCs w:val="20"/>
        </w:rPr>
      </w:pPr>
      <w:r>
        <w:rPr>
          <w:rFonts w:eastAsia="方正黑体_GBK" w:hint="eastAsia"/>
        </w:rPr>
        <w:lastRenderedPageBreak/>
        <w:t>附件</w:t>
      </w:r>
    </w:p>
    <w:p w:rsidR="00FC42A9" w:rsidRDefault="00FC42A9" w:rsidP="00FC42A9">
      <w:pPr>
        <w:spacing w:line="578" w:lineRule="exact"/>
        <w:ind w:firstLineChars="200" w:firstLine="640"/>
      </w:pPr>
    </w:p>
    <w:p w:rsidR="00FC42A9" w:rsidRDefault="00FC42A9" w:rsidP="00FC42A9">
      <w:pPr>
        <w:spacing w:line="578" w:lineRule="exact"/>
        <w:jc w:val="center"/>
        <w:rPr>
          <w:rFonts w:eastAsia="方正小标宋_GBK"/>
          <w:sz w:val="44"/>
          <w:szCs w:val="44"/>
        </w:rPr>
      </w:pPr>
      <w:r>
        <w:rPr>
          <w:rFonts w:eastAsia="方正小标宋_GBK" w:hint="eastAsia"/>
          <w:sz w:val="44"/>
          <w:szCs w:val="44"/>
        </w:rPr>
        <w:t>重庆市纳入惠民惠农财政补贴资金“一卡通”</w:t>
      </w:r>
    </w:p>
    <w:p w:rsidR="00FC42A9" w:rsidRDefault="00FC42A9" w:rsidP="00FC42A9">
      <w:pPr>
        <w:spacing w:line="578" w:lineRule="exact"/>
        <w:jc w:val="center"/>
        <w:rPr>
          <w:rFonts w:eastAsia="方正小标宋_GBK"/>
          <w:sz w:val="44"/>
          <w:szCs w:val="44"/>
        </w:rPr>
      </w:pPr>
      <w:r>
        <w:rPr>
          <w:rFonts w:eastAsia="方正小标宋_GBK" w:hint="eastAsia"/>
          <w:sz w:val="44"/>
          <w:szCs w:val="44"/>
        </w:rPr>
        <w:t>政策清单（规定部分）</w:t>
      </w:r>
    </w:p>
    <w:p w:rsidR="00FC42A9" w:rsidRDefault="00FC42A9" w:rsidP="00FC42A9">
      <w:pPr>
        <w:spacing w:line="578" w:lineRule="exact"/>
        <w:ind w:firstLineChars="200" w:firstLine="640"/>
        <w:rPr>
          <w:szCs w:val="20"/>
        </w:rPr>
      </w:pP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5863"/>
        <w:gridCol w:w="1984"/>
      </w:tblGrid>
      <w:tr w:rsidR="00FC42A9" w:rsidTr="00FC42A9">
        <w:trPr>
          <w:trHeight w:val="600"/>
          <w:tblHeader/>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rFonts w:eastAsia="方正黑体_GBK"/>
                <w:sz w:val="24"/>
                <w:szCs w:val="24"/>
              </w:rPr>
            </w:pPr>
            <w:r>
              <w:rPr>
                <w:rFonts w:eastAsia="方正黑体_GBK" w:hint="eastAsia"/>
                <w:sz w:val="24"/>
                <w:szCs w:val="24"/>
              </w:rPr>
              <w:t>序号</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rFonts w:eastAsia="方正黑体_GBK"/>
                <w:sz w:val="24"/>
                <w:szCs w:val="24"/>
              </w:rPr>
            </w:pPr>
            <w:r>
              <w:rPr>
                <w:rFonts w:eastAsia="方正黑体_GBK" w:hint="eastAsia"/>
                <w:sz w:val="24"/>
                <w:szCs w:val="24"/>
              </w:rPr>
              <w:t>补贴资金名称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rFonts w:eastAsia="方正黑体_GBK"/>
                <w:sz w:val="24"/>
                <w:szCs w:val="24"/>
              </w:rPr>
            </w:pPr>
            <w:r>
              <w:rPr>
                <w:rFonts w:eastAsia="方正黑体_GBK" w:hint="eastAsia"/>
                <w:sz w:val="24"/>
                <w:szCs w:val="24"/>
              </w:rPr>
              <w:t>主管部门</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1</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以工代赈专项项目劳务报酬</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市发展改革委</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2</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困难群众救助补助－城乡居民最低生活保障金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市民政局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3</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困难群众救助补助－特困人员救助供养保障金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市民政局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4</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困难群众救助补助－临时救助金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市民政局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5</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经济困难高龄失能养老服务补贴资金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市民政局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6</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残疾人两项补贴－重度残疾人护理补贴资金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市民政局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7</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残疾人两项补贴－困难残疾人生活补贴资金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市民政局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8</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困难群众救助补助资金－散居孤儿、事实无人抚养儿童补助</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市民政局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9</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困难群众慰问补助</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市民政局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10</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福彩圆梦·孤儿助学工程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市民政局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11</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耕地地力保护补贴资金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市农业农村委</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12</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农机购置补贴资金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市农业农村委</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13</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实际种粮农民一次性补贴</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市农业农村委</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14</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种粮大户补贴</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市农业农村委</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lastRenderedPageBreak/>
              <w:t>15</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强制免疫（先打后报）补助资金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市农业农村委</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16</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集中无害化处理（养殖环节）补助资金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市农业农村委</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17</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强制扑杀补助资金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市农业农村委</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18</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农村危房改造补助资金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市住房城乡建委</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19</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大中型水库移民后期扶持资金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市水利局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20</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农村部分计划生育家庭奖励扶助资金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市卫生健康委</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21</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计划生育家庭特别扶助资金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市卫生健康委</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22</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自然灾害生活补助资金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市应急局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23</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第一轮退耕还林直补退耕农户资金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市林业局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24</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第二轮退耕还林还草直补退耕农户资金</w:t>
            </w:r>
          </w:p>
          <w:p w:rsidR="00FC42A9" w:rsidRDefault="00FC42A9">
            <w:pPr>
              <w:spacing w:line="280" w:lineRule="exact"/>
              <w:jc w:val="center"/>
              <w:rPr>
                <w:sz w:val="24"/>
                <w:szCs w:val="24"/>
              </w:rPr>
            </w:pPr>
            <w:r>
              <w:rPr>
                <w:rFonts w:hint="eastAsia"/>
                <w:sz w:val="24"/>
                <w:szCs w:val="24"/>
              </w:rPr>
              <w:t>（原第二轮退耕还林直补退耕农户资金）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市林业局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25</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非国有林生态保护补偿资金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市林业局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26</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生态护林员管护补助资金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市林业局</w:t>
            </w:r>
          </w:p>
        </w:tc>
      </w:tr>
      <w:tr w:rsidR="00FC42A9" w:rsidTr="00FC42A9">
        <w:trPr>
          <w:trHeight w:val="600"/>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sz w:val="24"/>
                <w:szCs w:val="24"/>
              </w:rPr>
              <w:t>27</w:t>
            </w:r>
          </w:p>
        </w:tc>
        <w:tc>
          <w:tcPr>
            <w:tcW w:w="5863"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非国有天然商品林停伐管护补助资金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42A9" w:rsidRDefault="00FC42A9">
            <w:pPr>
              <w:spacing w:line="280" w:lineRule="exact"/>
              <w:jc w:val="center"/>
              <w:rPr>
                <w:sz w:val="24"/>
                <w:szCs w:val="24"/>
              </w:rPr>
            </w:pPr>
            <w:r>
              <w:rPr>
                <w:rFonts w:hint="eastAsia"/>
                <w:sz w:val="24"/>
                <w:szCs w:val="24"/>
              </w:rPr>
              <w:t>市林业局</w:t>
            </w:r>
          </w:p>
        </w:tc>
      </w:tr>
    </w:tbl>
    <w:p w:rsidR="00FC42A9" w:rsidRDefault="00FC42A9" w:rsidP="00FC42A9">
      <w:pPr>
        <w:spacing w:line="578" w:lineRule="exact"/>
        <w:ind w:firstLineChars="200" w:firstLine="640"/>
        <w:rPr>
          <w:kern w:val="2"/>
          <w:szCs w:val="20"/>
        </w:rPr>
      </w:pPr>
    </w:p>
    <w:p w:rsidR="00FC42A9" w:rsidRPr="00FC42A9" w:rsidRDefault="00FC42A9" w:rsidP="00FC42A9">
      <w:pPr>
        <w:pStyle w:val="a0"/>
        <w:rPr>
          <w:rFonts w:hint="eastAsia"/>
        </w:rPr>
      </w:pPr>
    </w:p>
    <w:sectPr w:rsidR="00FC42A9" w:rsidRPr="00FC42A9"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B4" w:rsidRDefault="00605DB4">
      <w:pPr>
        <w:spacing w:line="240" w:lineRule="auto"/>
      </w:pPr>
      <w:r>
        <w:separator/>
      </w:r>
    </w:p>
  </w:endnote>
  <w:endnote w:type="continuationSeparator" w:id="0">
    <w:p w:rsidR="00605DB4" w:rsidRDefault="00605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38C67116-2C94-42BB-8EF8-054A8157A7C7}"/>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6AEEA08F-75B8-4132-8BF7-DAD466AB44FE}"/>
  </w:font>
  <w:font w:name="楷体">
    <w:charset w:val="86"/>
    <w:family w:val="modern"/>
    <w:pitch w:val="fixed"/>
    <w:sig w:usb0="800002BF" w:usb1="38CF7CFA" w:usb2="00000016" w:usb3="00000000" w:csb0="00040001" w:csb1="00000000"/>
    <w:embedRegular r:id="rId3" w:subsetted="1" w:fontKey="{FD58173E-172F-4631-BD7D-957684DF3F58}"/>
  </w:font>
  <w:font w:name="方正黑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42A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42A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B4" w:rsidRDefault="00605DB4">
      <w:pPr>
        <w:spacing w:line="240" w:lineRule="auto"/>
      </w:pPr>
      <w:r>
        <w:separator/>
      </w:r>
    </w:p>
  </w:footnote>
  <w:footnote w:type="continuationSeparator" w:id="0">
    <w:p w:rsidR="00605DB4" w:rsidRDefault="00605D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100343"/>
    <w:rsid w:val="001017F0"/>
    <w:rsid w:val="0010405A"/>
    <w:rsid w:val="001059C0"/>
    <w:rsid w:val="0011379E"/>
    <w:rsid w:val="001272E5"/>
    <w:rsid w:val="001504F6"/>
    <w:rsid w:val="00172A27"/>
    <w:rsid w:val="00180CA0"/>
    <w:rsid w:val="001815C9"/>
    <w:rsid w:val="001924CF"/>
    <w:rsid w:val="00192AE2"/>
    <w:rsid w:val="0019360C"/>
    <w:rsid w:val="00193AF5"/>
    <w:rsid w:val="00193ECF"/>
    <w:rsid w:val="001A38B7"/>
    <w:rsid w:val="001A4AC6"/>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3EE7"/>
    <w:rsid w:val="00354A68"/>
    <w:rsid w:val="00357AAF"/>
    <w:rsid w:val="00383443"/>
    <w:rsid w:val="003D4C0E"/>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41F41"/>
    <w:rsid w:val="00566014"/>
    <w:rsid w:val="00584BC3"/>
    <w:rsid w:val="00597E69"/>
    <w:rsid w:val="005A6704"/>
    <w:rsid w:val="005D0DB0"/>
    <w:rsid w:val="005E0EF8"/>
    <w:rsid w:val="005E2BCD"/>
    <w:rsid w:val="005E308C"/>
    <w:rsid w:val="00605DB4"/>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C1D53"/>
    <w:rsid w:val="009D7357"/>
    <w:rsid w:val="009F7988"/>
    <w:rsid w:val="00A0470C"/>
    <w:rsid w:val="00A2600B"/>
    <w:rsid w:val="00A33013"/>
    <w:rsid w:val="00A34887"/>
    <w:rsid w:val="00A40D9D"/>
    <w:rsid w:val="00A43229"/>
    <w:rsid w:val="00A446D2"/>
    <w:rsid w:val="00A860D2"/>
    <w:rsid w:val="00A92DD2"/>
    <w:rsid w:val="00A930AF"/>
    <w:rsid w:val="00AA0CAE"/>
    <w:rsid w:val="00AB1CDC"/>
    <w:rsid w:val="00AE0386"/>
    <w:rsid w:val="00B00990"/>
    <w:rsid w:val="00B4705A"/>
    <w:rsid w:val="00B570F0"/>
    <w:rsid w:val="00B60234"/>
    <w:rsid w:val="00B67B15"/>
    <w:rsid w:val="00B921D5"/>
    <w:rsid w:val="00BA0453"/>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C5A29"/>
    <w:rsid w:val="00DC753A"/>
    <w:rsid w:val="00DE3B57"/>
    <w:rsid w:val="00DE5B1C"/>
    <w:rsid w:val="00E04ACD"/>
    <w:rsid w:val="00E2641F"/>
    <w:rsid w:val="00E35997"/>
    <w:rsid w:val="00E46A6A"/>
    <w:rsid w:val="00E47B03"/>
    <w:rsid w:val="00E54327"/>
    <w:rsid w:val="00E55F89"/>
    <w:rsid w:val="00E6185D"/>
    <w:rsid w:val="00E65056"/>
    <w:rsid w:val="00E67507"/>
    <w:rsid w:val="00E70B04"/>
    <w:rsid w:val="00E80CCB"/>
    <w:rsid w:val="00E8116B"/>
    <w:rsid w:val="00E83D63"/>
    <w:rsid w:val="00E97F10"/>
    <w:rsid w:val="00EA6DB7"/>
    <w:rsid w:val="00EF44DC"/>
    <w:rsid w:val="00F0546A"/>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7109A"/>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2024-12-27T07:10:00Z</dcterms:created>
  <dcterms:modified xsi:type="dcterms:W3CDTF">2024-12-27T07:10:00Z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