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6A" w:rsidRDefault="00E46A6A" w:rsidP="00B67B15">
      <w:pPr>
        <w:ind w:leftChars="100" w:left="320"/>
        <w:rPr>
          <w:rFonts w:eastAsia="方正小标宋_GBK"/>
          <w:sz w:val="44"/>
          <w:szCs w:val="44"/>
        </w:rPr>
      </w:pPr>
    </w:p>
    <w:p w:rsidR="006878C8" w:rsidRDefault="006878C8" w:rsidP="006878C8">
      <w:pPr>
        <w:spacing w:line="578" w:lineRule="exact"/>
        <w:jc w:val="center"/>
        <w:rPr>
          <w:rFonts w:ascii="方正小标宋_GBK" w:eastAsia="方正小标宋_GBK"/>
          <w:sz w:val="44"/>
          <w:szCs w:val="44"/>
        </w:rPr>
      </w:pPr>
      <w:r w:rsidRPr="00CC3B86">
        <w:rPr>
          <w:rFonts w:ascii="方正小标宋_GBK" w:eastAsia="方正小标宋_GBK" w:hint="eastAsia"/>
          <w:sz w:val="44"/>
          <w:szCs w:val="44"/>
        </w:rPr>
        <w:t>重庆市财政局  重庆市地方金融管理局</w:t>
      </w:r>
    </w:p>
    <w:p w:rsidR="006878C8" w:rsidRDefault="006878C8" w:rsidP="006878C8">
      <w:pPr>
        <w:spacing w:line="578" w:lineRule="exact"/>
        <w:jc w:val="center"/>
        <w:rPr>
          <w:rFonts w:ascii="方正小标宋_GBK" w:eastAsia="方正小标宋_GBK"/>
          <w:spacing w:val="-10"/>
          <w:sz w:val="44"/>
          <w:szCs w:val="44"/>
        </w:rPr>
      </w:pPr>
      <w:r w:rsidRPr="00CC3B86">
        <w:rPr>
          <w:rFonts w:ascii="方正小标宋_GBK" w:eastAsia="方正小标宋_GBK" w:hint="eastAsia"/>
          <w:spacing w:val="-10"/>
          <w:sz w:val="44"/>
          <w:szCs w:val="44"/>
        </w:rPr>
        <w:t>关于更新重庆市政府性融资担保机构名单的通知</w:t>
      </w:r>
    </w:p>
    <w:p w:rsidR="006878C8" w:rsidRPr="006878C8" w:rsidRDefault="006878C8" w:rsidP="006878C8">
      <w:pPr>
        <w:pStyle w:val="a0"/>
        <w:jc w:val="center"/>
        <w:rPr>
          <w:rFonts w:ascii="楷体" w:eastAsia="楷体" w:hAnsi="楷体" w:hint="eastAsia"/>
        </w:rPr>
      </w:pPr>
      <w:bookmarkStart w:id="0" w:name="_GoBack"/>
      <w:r w:rsidRPr="006878C8">
        <w:rPr>
          <w:rFonts w:ascii="楷体" w:eastAsia="楷体" w:hAnsi="楷体" w:hint="eastAsia"/>
          <w:color w:val="000000"/>
        </w:rPr>
        <w:t>渝财金〔20</w:t>
      </w:r>
      <w:r w:rsidRPr="006878C8">
        <w:rPr>
          <w:rFonts w:ascii="楷体" w:eastAsia="楷体" w:hAnsi="楷体"/>
          <w:color w:val="000000"/>
        </w:rPr>
        <w:t>24</w:t>
      </w:r>
      <w:r w:rsidRPr="006878C8">
        <w:rPr>
          <w:rFonts w:ascii="楷体" w:eastAsia="楷体" w:hAnsi="楷体" w:hint="eastAsia"/>
          <w:color w:val="000000"/>
        </w:rPr>
        <w:t>〕9号</w:t>
      </w:r>
    </w:p>
    <w:bookmarkEnd w:id="0"/>
    <w:p w:rsidR="006878C8" w:rsidRPr="00CC3B86" w:rsidRDefault="006878C8" w:rsidP="006878C8">
      <w:pPr>
        <w:spacing w:line="578" w:lineRule="exact"/>
        <w:ind w:firstLineChars="200" w:firstLine="640"/>
      </w:pPr>
    </w:p>
    <w:p w:rsidR="006878C8" w:rsidRPr="00CC3B86" w:rsidRDefault="006878C8" w:rsidP="006878C8">
      <w:pPr>
        <w:spacing w:line="578" w:lineRule="exact"/>
      </w:pPr>
      <w:r w:rsidRPr="00CC3B86">
        <w:rPr>
          <w:rFonts w:hint="eastAsia"/>
        </w:rPr>
        <w:t>各区县（自治县，含两江新区、西部科学城重庆高新区、万盛经开区，</w:t>
      </w:r>
      <w:r w:rsidRPr="00CC3B86">
        <w:t>以下简称区县</w:t>
      </w:r>
      <w:r w:rsidRPr="00CC3B86">
        <w:rPr>
          <w:rFonts w:hint="eastAsia"/>
        </w:rPr>
        <w:t>）财政局、金融管理部门，有关融资担保机构：</w:t>
      </w:r>
    </w:p>
    <w:p w:rsidR="006878C8" w:rsidRPr="00CC3B86" w:rsidRDefault="006878C8" w:rsidP="006878C8">
      <w:pPr>
        <w:spacing w:line="578" w:lineRule="exact"/>
        <w:ind w:firstLineChars="200" w:firstLine="640"/>
      </w:pPr>
      <w:r w:rsidRPr="00CC3B86">
        <w:t>为加快推进政府性融资担保体系建设，</w:t>
      </w:r>
      <w:r w:rsidRPr="00CC3B86">
        <w:rPr>
          <w:rFonts w:hint="eastAsia"/>
        </w:rPr>
        <w:t>按照</w:t>
      </w:r>
      <w:r w:rsidRPr="00CC3B86">
        <w:t>《中国银保监会等</w:t>
      </w:r>
      <w:r w:rsidRPr="00CC3B86">
        <w:rPr>
          <w:rFonts w:hint="eastAsia"/>
        </w:rPr>
        <w:t>七部委</w:t>
      </w:r>
      <w:r w:rsidRPr="00CC3B86">
        <w:t>关于做好政府性融资担保机构监管工作的通知》（银保监发〔</w:t>
      </w:r>
      <w:r w:rsidRPr="00CC3B86">
        <w:t>2020</w:t>
      </w:r>
      <w:r w:rsidRPr="00CC3B86">
        <w:t>〕</w:t>
      </w:r>
      <w:r w:rsidRPr="00CC3B86">
        <w:t>39</w:t>
      </w:r>
      <w:r w:rsidRPr="00CC3B86">
        <w:t>号）</w:t>
      </w:r>
      <w:r w:rsidRPr="00CC3B86">
        <w:rPr>
          <w:rFonts w:hint="eastAsia"/>
        </w:rPr>
        <w:t>、</w:t>
      </w:r>
      <w:r w:rsidRPr="00CC3B86">
        <w:t>《重庆市财政局</w:t>
      </w:r>
      <w:r w:rsidRPr="00CC3B86">
        <w:t xml:space="preserve"> </w:t>
      </w:r>
      <w:r w:rsidRPr="00CC3B86">
        <w:t>重庆市地方金融监督管理局关于开展政府性融资担保机构申报工作的通知》（渝财金〔</w:t>
      </w:r>
      <w:r w:rsidRPr="00CC3B86">
        <w:t>2022</w:t>
      </w:r>
      <w:r w:rsidRPr="00CC3B86">
        <w:t>〕</w:t>
      </w:r>
      <w:r w:rsidRPr="00CC3B86">
        <w:t>37</w:t>
      </w:r>
      <w:r w:rsidRPr="00CC3B86">
        <w:t>号）等文件</w:t>
      </w:r>
      <w:r w:rsidRPr="00CC3B86">
        <w:rPr>
          <w:rFonts w:hint="eastAsia"/>
        </w:rPr>
        <w:t>要求</w:t>
      </w:r>
      <w:r w:rsidRPr="00CC3B86">
        <w:t>，市财政局、市</w:t>
      </w:r>
      <w:r w:rsidRPr="00CC3B86">
        <w:rPr>
          <w:rFonts w:hint="eastAsia"/>
        </w:rPr>
        <w:t>地方</w:t>
      </w:r>
      <w:r w:rsidRPr="00CC3B86">
        <w:t>金融</w:t>
      </w:r>
      <w:r w:rsidRPr="00CC3B86">
        <w:rPr>
          <w:rFonts w:hint="eastAsia"/>
        </w:rPr>
        <w:t>管理</w:t>
      </w:r>
      <w:r w:rsidRPr="00CC3B86">
        <w:t>局</w:t>
      </w:r>
      <w:r w:rsidRPr="00CC3B86">
        <w:rPr>
          <w:rFonts w:hint="eastAsia"/>
        </w:rPr>
        <w:t>负责</w:t>
      </w:r>
      <w:r w:rsidRPr="00CC3B86">
        <w:t>统筹确定我市政府性融资担保机构名单，并实行动态管理。结合机构申报和区县初审情况，经研究，现将</w:t>
      </w:r>
      <w:r w:rsidRPr="00CC3B86">
        <w:rPr>
          <w:rFonts w:hint="eastAsia"/>
        </w:rPr>
        <w:t>重庆市綦江区兴农</w:t>
      </w:r>
      <w:r w:rsidRPr="00CC3B86">
        <w:t>融资担保有限责任公司新增纳入我市政府性融资担保机构名单。本次更新后，我市政府性融资担保机构共</w:t>
      </w:r>
      <w:r w:rsidRPr="00CC3B86">
        <w:t>37</w:t>
      </w:r>
      <w:r w:rsidRPr="00CC3B86">
        <w:t>家（见附件）。</w:t>
      </w:r>
    </w:p>
    <w:p w:rsidR="006878C8" w:rsidRPr="00CC3B86" w:rsidRDefault="006878C8" w:rsidP="006878C8">
      <w:pPr>
        <w:spacing w:line="578" w:lineRule="exact"/>
        <w:ind w:firstLineChars="200" w:firstLine="640"/>
      </w:pPr>
      <w:r w:rsidRPr="00CC3B86">
        <w:rPr>
          <w:rFonts w:hint="eastAsia"/>
        </w:rPr>
        <w:t>请各</w:t>
      </w:r>
      <w:r w:rsidRPr="00CC3B86">
        <w:t>区县</w:t>
      </w:r>
      <w:r w:rsidRPr="00CC3B86">
        <w:rPr>
          <w:rFonts w:hint="eastAsia"/>
        </w:rPr>
        <w:t>相关</w:t>
      </w:r>
      <w:r w:rsidRPr="00CC3B86">
        <w:t>部门</w:t>
      </w:r>
      <w:r w:rsidRPr="00CC3B86">
        <w:rPr>
          <w:rFonts w:hint="eastAsia"/>
        </w:rPr>
        <w:t>按照</w:t>
      </w:r>
      <w:r w:rsidRPr="00CC3B86">
        <w:t>有关</w:t>
      </w:r>
      <w:r w:rsidRPr="00CC3B86">
        <w:rPr>
          <w:rFonts w:hint="eastAsia"/>
        </w:rPr>
        <w:t>文件</w:t>
      </w:r>
      <w:r w:rsidRPr="00CC3B86">
        <w:t>要求</w:t>
      </w:r>
      <w:r w:rsidRPr="00CC3B86">
        <w:rPr>
          <w:rFonts w:hint="eastAsia"/>
        </w:rPr>
        <w:t>，会同</w:t>
      </w:r>
      <w:r w:rsidRPr="00CC3B86">
        <w:t>履行</w:t>
      </w:r>
      <w:r w:rsidRPr="00CC3B86">
        <w:rPr>
          <w:rFonts w:hint="eastAsia"/>
        </w:rPr>
        <w:t>出资人</w:t>
      </w:r>
      <w:r w:rsidRPr="00CC3B86">
        <w:t>职责的机构，</w:t>
      </w:r>
      <w:r w:rsidRPr="00CC3B86">
        <w:rPr>
          <w:rFonts w:hint="eastAsia"/>
        </w:rPr>
        <w:t>对</w:t>
      </w:r>
      <w:r w:rsidRPr="00CC3B86">
        <w:t>纳入名单管理的机构</w:t>
      </w:r>
      <w:r w:rsidRPr="00CC3B86">
        <w:rPr>
          <w:rFonts w:hint="eastAsia"/>
        </w:rPr>
        <w:t>加大</w:t>
      </w:r>
      <w:r w:rsidRPr="00CC3B86">
        <w:t>支持力度，</w:t>
      </w:r>
      <w:r w:rsidRPr="00CC3B86">
        <w:rPr>
          <w:rFonts w:hint="eastAsia"/>
        </w:rPr>
        <w:t>建立健全</w:t>
      </w:r>
      <w:r w:rsidRPr="00CC3B86">
        <w:t>资本金动态</w:t>
      </w:r>
      <w:r w:rsidRPr="00CC3B86">
        <w:rPr>
          <w:rFonts w:hint="eastAsia"/>
        </w:rPr>
        <w:t>补充</w:t>
      </w:r>
      <w:r w:rsidRPr="00CC3B86">
        <w:t>、风险补偿、业务奖补等机制</w:t>
      </w:r>
      <w:r w:rsidRPr="00CC3B86">
        <w:rPr>
          <w:rFonts w:hint="eastAsia"/>
        </w:rPr>
        <w:t>；</w:t>
      </w:r>
      <w:r w:rsidRPr="00CC3B86">
        <w:t>请</w:t>
      </w:r>
      <w:r w:rsidRPr="00CC3B86">
        <w:rPr>
          <w:rFonts w:hint="eastAsia"/>
        </w:rPr>
        <w:t>有关融资</w:t>
      </w:r>
      <w:r w:rsidRPr="00CC3B86">
        <w:t>担保机构坚持准公益定位，</w:t>
      </w:r>
      <w:r w:rsidRPr="00CC3B86">
        <w:rPr>
          <w:rFonts w:hint="eastAsia"/>
        </w:rPr>
        <w:t>聚焦</w:t>
      </w:r>
      <w:r w:rsidRPr="00CC3B86">
        <w:t>主责主业，</w:t>
      </w:r>
      <w:r w:rsidRPr="00CC3B86">
        <w:rPr>
          <w:rFonts w:hint="eastAsia"/>
        </w:rPr>
        <w:t>更好</w:t>
      </w:r>
      <w:r w:rsidRPr="00CC3B86">
        <w:t>服务小微、</w:t>
      </w:r>
      <w:r w:rsidRPr="00CC3B86">
        <w:rPr>
          <w:rFonts w:hint="eastAsia"/>
        </w:rPr>
        <w:t>“三农”等</w:t>
      </w:r>
      <w:r w:rsidRPr="00CC3B86">
        <w:t>主体。</w:t>
      </w:r>
      <w:r w:rsidRPr="00CC3B86">
        <w:rPr>
          <w:rFonts w:hint="eastAsia"/>
        </w:rPr>
        <w:lastRenderedPageBreak/>
        <w:t>市财政局</w:t>
      </w:r>
      <w:r w:rsidRPr="00CC3B86">
        <w:t>、市</w:t>
      </w:r>
      <w:r w:rsidRPr="00CC3B86">
        <w:rPr>
          <w:rFonts w:hint="eastAsia"/>
        </w:rPr>
        <w:t>地方</w:t>
      </w:r>
      <w:r w:rsidRPr="00CC3B86">
        <w:t>金融</w:t>
      </w:r>
      <w:r w:rsidRPr="00CC3B86">
        <w:rPr>
          <w:rFonts w:hint="eastAsia"/>
        </w:rPr>
        <w:t>管理局</w:t>
      </w:r>
      <w:r w:rsidRPr="00CC3B86">
        <w:t>将适时开展</w:t>
      </w:r>
      <w:r w:rsidRPr="00CC3B86">
        <w:rPr>
          <w:rFonts w:hint="eastAsia"/>
        </w:rPr>
        <w:t>政府性</w:t>
      </w:r>
      <w:r w:rsidRPr="00CC3B86">
        <w:t>融资担保机构绩效评价，</w:t>
      </w:r>
      <w:r w:rsidRPr="00CC3B86">
        <w:rPr>
          <w:rFonts w:hint="eastAsia"/>
        </w:rPr>
        <w:t>并加强</w:t>
      </w:r>
      <w:r w:rsidRPr="00CC3B86">
        <w:t>结果运用，</w:t>
      </w:r>
      <w:r w:rsidRPr="00CC3B86">
        <w:rPr>
          <w:rFonts w:hint="eastAsia"/>
        </w:rPr>
        <w:t>存续</w:t>
      </w:r>
      <w:r w:rsidRPr="00CC3B86">
        <w:t>做好</w:t>
      </w:r>
      <w:r w:rsidRPr="00CC3B86">
        <w:rPr>
          <w:rFonts w:hint="eastAsia"/>
        </w:rPr>
        <w:t>动态</w:t>
      </w:r>
      <w:r w:rsidRPr="00CC3B86">
        <w:t>管理。</w:t>
      </w:r>
    </w:p>
    <w:p w:rsidR="006878C8" w:rsidRPr="00CC3B86" w:rsidRDefault="006878C8" w:rsidP="006878C8">
      <w:pPr>
        <w:spacing w:line="578" w:lineRule="exact"/>
        <w:ind w:firstLineChars="200" w:firstLine="640"/>
      </w:pPr>
    </w:p>
    <w:p w:rsidR="006878C8" w:rsidRPr="00CC3B86" w:rsidRDefault="006878C8" w:rsidP="006878C8">
      <w:pPr>
        <w:spacing w:line="578" w:lineRule="exact"/>
        <w:ind w:firstLineChars="200" w:firstLine="640"/>
      </w:pPr>
      <w:r w:rsidRPr="00CC3B86">
        <w:rPr>
          <w:rFonts w:hint="eastAsia"/>
        </w:rPr>
        <w:t>附件</w:t>
      </w:r>
      <w:r w:rsidRPr="00CC3B86">
        <w:t>：</w:t>
      </w:r>
      <w:r w:rsidRPr="00CC3B86">
        <w:rPr>
          <w:rFonts w:hint="eastAsia"/>
        </w:rPr>
        <w:t>重庆市</w:t>
      </w:r>
      <w:r w:rsidRPr="00CC3B86">
        <w:t>政府性融资担保机构名单</w:t>
      </w:r>
    </w:p>
    <w:p w:rsidR="006878C8" w:rsidRDefault="006878C8" w:rsidP="006878C8">
      <w:pPr>
        <w:spacing w:line="578" w:lineRule="exact"/>
        <w:ind w:firstLineChars="200" w:firstLine="640"/>
      </w:pPr>
    </w:p>
    <w:p w:rsidR="006878C8" w:rsidRDefault="006878C8" w:rsidP="006878C8">
      <w:pPr>
        <w:spacing w:line="578" w:lineRule="exact"/>
        <w:ind w:firstLineChars="200" w:firstLine="640"/>
      </w:pPr>
    </w:p>
    <w:p w:rsidR="006878C8" w:rsidRPr="00CC3B86" w:rsidRDefault="006878C8" w:rsidP="006878C8">
      <w:pPr>
        <w:spacing w:line="578" w:lineRule="exact"/>
        <w:ind w:firstLineChars="200" w:firstLine="640"/>
        <w:rPr>
          <w:rFonts w:hint="eastAsia"/>
        </w:rPr>
      </w:pPr>
    </w:p>
    <w:p w:rsidR="006878C8" w:rsidRPr="00CC3B86" w:rsidRDefault="006878C8" w:rsidP="006878C8">
      <w:pPr>
        <w:spacing w:line="578" w:lineRule="exact"/>
        <w:ind w:firstLineChars="350" w:firstLine="1120"/>
      </w:pPr>
      <w:r w:rsidRPr="00CC3B86">
        <w:rPr>
          <w:rFonts w:hint="eastAsia"/>
        </w:rPr>
        <w:t>重庆市</w:t>
      </w:r>
      <w:r w:rsidRPr="00CC3B86">
        <w:t>财政局</w:t>
      </w:r>
      <w:r w:rsidRPr="00CC3B86">
        <w:rPr>
          <w:rFonts w:hint="eastAsia"/>
        </w:rPr>
        <w:t xml:space="preserve">       </w:t>
      </w:r>
      <w:r>
        <w:t xml:space="preserve">      </w:t>
      </w:r>
      <w:r w:rsidRPr="00CC3B86">
        <w:rPr>
          <w:rFonts w:hint="eastAsia"/>
        </w:rPr>
        <w:t>重庆市地方</w:t>
      </w:r>
      <w:r w:rsidRPr="00CC3B86">
        <w:t>金融管理局</w:t>
      </w:r>
    </w:p>
    <w:p w:rsidR="006878C8" w:rsidRPr="00CC3B86" w:rsidRDefault="006878C8" w:rsidP="006878C8">
      <w:pPr>
        <w:spacing w:line="578" w:lineRule="exact"/>
        <w:ind w:firstLineChars="1750" w:firstLine="5600"/>
      </w:pPr>
      <w:r w:rsidRPr="00CC3B86">
        <w:t>2024</w:t>
      </w:r>
      <w:r w:rsidRPr="00CC3B86">
        <w:t>年</w:t>
      </w:r>
      <w:r w:rsidRPr="00CC3B86">
        <w:t>5</w:t>
      </w:r>
      <w:r w:rsidRPr="00CC3B86">
        <w:t>月</w:t>
      </w:r>
      <w:r>
        <w:t>17</w:t>
      </w:r>
      <w:r w:rsidRPr="00CC3B86">
        <w:t>日</w:t>
      </w:r>
    </w:p>
    <w:p w:rsidR="006878C8" w:rsidRPr="006878C8" w:rsidRDefault="006878C8" w:rsidP="006878C8">
      <w:pPr>
        <w:pStyle w:val="a0"/>
        <w:rPr>
          <w:rFonts w:hint="eastAsia"/>
        </w:rPr>
      </w:pPr>
      <w:r>
        <w:rPr>
          <w:rFonts w:hint="eastAsia"/>
        </w:rPr>
        <w:t>（此件主动公开</w:t>
      </w:r>
      <w:r>
        <w:t>）</w:t>
      </w:r>
    </w:p>
    <w:sectPr w:rsidR="006878C8" w:rsidRPr="006878C8"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89" w:rsidRDefault="00E55F89">
      <w:pPr>
        <w:spacing w:line="240" w:lineRule="auto"/>
      </w:pPr>
      <w:r>
        <w:separator/>
      </w:r>
    </w:p>
  </w:endnote>
  <w:endnote w:type="continuationSeparator" w:id="0">
    <w:p w:rsidR="00E55F89" w:rsidRDefault="00E55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93283899-BCD5-493D-B497-3FBEE343B399}"/>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B9F9CD62-D36F-453E-B462-84523346635A}"/>
  </w:font>
  <w:font w:name="楷体">
    <w:charset w:val="86"/>
    <w:family w:val="modern"/>
    <w:pitch w:val="fixed"/>
    <w:sig w:usb0="800002BF" w:usb1="38CF7CFA" w:usb2="00000016" w:usb3="00000000" w:csb0="00040001" w:csb1="00000000"/>
    <w:embedRegular r:id="rId3" w:subsetted="1" w:fontKey="{E9CA6452-FC70-4899-BBA4-7720FC14AD8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78C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78C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8"/>
      <w:ind w:leftChars="1803" w:left="5770" w:firstLineChars="2312" w:firstLine="6499"/>
      <w:jc w:val="left"/>
      <w:rPr>
        <w:rFonts w:ascii="宋体" w:eastAsia="宋体" w:hAnsi="宋体" w:cs="宋体"/>
        <w:b/>
        <w:bCs/>
        <w:color w:val="005192"/>
        <w:szCs w:val="28"/>
      </w:rPr>
    </w:pPr>
  </w:p>
  <w:p w:rsidR="0026289F" w:rsidRDefault="0026289F">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89" w:rsidRDefault="00E55F89">
      <w:pPr>
        <w:spacing w:line="240" w:lineRule="auto"/>
      </w:pPr>
      <w:r>
        <w:separator/>
      </w:r>
    </w:p>
  </w:footnote>
  <w:footnote w:type="continuationSeparator" w:id="0">
    <w:p w:rsidR="00E55F89" w:rsidRDefault="00E55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8"/>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8"/>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92DD1CEF"/>
    <w:rsid w:val="F05B4F69"/>
    <w:rsid w:val="F97D9566"/>
    <w:rsid w:val="FDFF411C"/>
    <w:rsid w:val="00017DEF"/>
    <w:rsid w:val="00082E38"/>
    <w:rsid w:val="000C2C04"/>
    <w:rsid w:val="00100343"/>
    <w:rsid w:val="001017F0"/>
    <w:rsid w:val="0011379E"/>
    <w:rsid w:val="001272E5"/>
    <w:rsid w:val="00172A27"/>
    <w:rsid w:val="001924CF"/>
    <w:rsid w:val="001A38B7"/>
    <w:rsid w:val="001B3E84"/>
    <w:rsid w:val="001D7C26"/>
    <w:rsid w:val="001E1D4F"/>
    <w:rsid w:val="00204E52"/>
    <w:rsid w:val="002423F8"/>
    <w:rsid w:val="00256DDF"/>
    <w:rsid w:val="0026289F"/>
    <w:rsid w:val="002A389B"/>
    <w:rsid w:val="002A6CF6"/>
    <w:rsid w:val="002B17E3"/>
    <w:rsid w:val="002B7553"/>
    <w:rsid w:val="002E7DF5"/>
    <w:rsid w:val="00351D0B"/>
    <w:rsid w:val="00357AAF"/>
    <w:rsid w:val="00383443"/>
    <w:rsid w:val="003E4E1E"/>
    <w:rsid w:val="003F3555"/>
    <w:rsid w:val="003F49A8"/>
    <w:rsid w:val="004B49C5"/>
    <w:rsid w:val="004B7FAA"/>
    <w:rsid w:val="00541F41"/>
    <w:rsid w:val="00597E69"/>
    <w:rsid w:val="005A6704"/>
    <w:rsid w:val="005E2BCD"/>
    <w:rsid w:val="00610F2D"/>
    <w:rsid w:val="006509F5"/>
    <w:rsid w:val="006512E1"/>
    <w:rsid w:val="006878C8"/>
    <w:rsid w:val="006C4FC3"/>
    <w:rsid w:val="006D3F8F"/>
    <w:rsid w:val="007057D0"/>
    <w:rsid w:val="00710C4C"/>
    <w:rsid w:val="00716960"/>
    <w:rsid w:val="00757A08"/>
    <w:rsid w:val="00796AED"/>
    <w:rsid w:val="007D7601"/>
    <w:rsid w:val="007E0D2E"/>
    <w:rsid w:val="007E186E"/>
    <w:rsid w:val="007F6458"/>
    <w:rsid w:val="008240CA"/>
    <w:rsid w:val="008305EC"/>
    <w:rsid w:val="00844EE4"/>
    <w:rsid w:val="00850C21"/>
    <w:rsid w:val="0087698F"/>
    <w:rsid w:val="00894C52"/>
    <w:rsid w:val="00894FC8"/>
    <w:rsid w:val="008A488B"/>
    <w:rsid w:val="008C58E3"/>
    <w:rsid w:val="008F119F"/>
    <w:rsid w:val="009457AD"/>
    <w:rsid w:val="00953900"/>
    <w:rsid w:val="009650E8"/>
    <w:rsid w:val="009B2B40"/>
    <w:rsid w:val="009B6DE3"/>
    <w:rsid w:val="009D7357"/>
    <w:rsid w:val="00A0470C"/>
    <w:rsid w:val="00A34887"/>
    <w:rsid w:val="00A43229"/>
    <w:rsid w:val="00A446D2"/>
    <w:rsid w:val="00A860D2"/>
    <w:rsid w:val="00AA0CAE"/>
    <w:rsid w:val="00B4705A"/>
    <w:rsid w:val="00B67B15"/>
    <w:rsid w:val="00BB2E5D"/>
    <w:rsid w:val="00BD0828"/>
    <w:rsid w:val="00BD2826"/>
    <w:rsid w:val="00BE3FE8"/>
    <w:rsid w:val="00BF4124"/>
    <w:rsid w:val="00C6064E"/>
    <w:rsid w:val="00C71514"/>
    <w:rsid w:val="00C84BE2"/>
    <w:rsid w:val="00CB2CCF"/>
    <w:rsid w:val="00CC4066"/>
    <w:rsid w:val="00D075B5"/>
    <w:rsid w:val="00D172B6"/>
    <w:rsid w:val="00DA5409"/>
    <w:rsid w:val="00DB2465"/>
    <w:rsid w:val="00DC5A29"/>
    <w:rsid w:val="00DC753A"/>
    <w:rsid w:val="00DE3B57"/>
    <w:rsid w:val="00DE5B1C"/>
    <w:rsid w:val="00E46A6A"/>
    <w:rsid w:val="00E54327"/>
    <w:rsid w:val="00E55F89"/>
    <w:rsid w:val="00E67507"/>
    <w:rsid w:val="00E8116B"/>
    <w:rsid w:val="00EA6DB7"/>
    <w:rsid w:val="00EF44DC"/>
    <w:rsid w:val="00F0546A"/>
    <w:rsid w:val="00F36C4B"/>
    <w:rsid w:val="00F9216F"/>
    <w:rsid w:val="00FA1057"/>
    <w:rsid w:val="00FA4C38"/>
    <w:rsid w:val="00FC72B3"/>
    <w:rsid w:val="00FD3727"/>
    <w:rsid w:val="00FE6A06"/>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2500F"/>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style>
  <w:style w:type="paragraph" w:styleId="a4">
    <w:name w:val="Body Text First Indent"/>
    <w:basedOn w:val="a0"/>
    <w:qFormat/>
    <w:pPr>
      <w:spacing w:after="160"/>
      <w:ind w:firstLineChars="100" w:firstLine="420"/>
    </w:pPr>
  </w:style>
  <w:style w:type="paragraph" w:styleId="a6">
    <w:name w:val="annotation text"/>
    <w:basedOn w:val="a"/>
    <w:qFormat/>
    <w:pPr>
      <w:jc w:val="left"/>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next w:val="a7"/>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a">
    <w:name w:val="Strong"/>
    <w:basedOn w:val="a1"/>
    <w:qFormat/>
    <w:rPr>
      <w:b/>
      <w:bCs/>
    </w:rPr>
  </w:style>
  <w:style w:type="character" w:styleId="ab">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c">
    <w:name w:val="Date"/>
    <w:basedOn w:val="a"/>
    <w:next w:val="a"/>
    <w:link w:val="ad"/>
    <w:rsid w:val="00082E38"/>
    <w:pPr>
      <w:adjustRightInd/>
      <w:spacing w:line="240" w:lineRule="auto"/>
      <w:ind w:leftChars="2500" w:left="100"/>
      <w:textAlignment w:val="auto"/>
    </w:pPr>
    <w:rPr>
      <w:kern w:val="2"/>
      <w:szCs w:val="20"/>
    </w:rPr>
  </w:style>
  <w:style w:type="character" w:customStyle="1" w:styleId="ad">
    <w:name w:val="日期 字符"/>
    <w:basedOn w:val="a1"/>
    <w:link w:val="ac"/>
    <w:rsid w:val="00082E38"/>
    <w:rPr>
      <w:rFonts w:eastAsia="方正仿宋_GBK"/>
      <w:kern w:val="2"/>
      <w:sz w:val="32"/>
    </w:rPr>
  </w:style>
  <w:style w:type="character" w:styleId="ae">
    <w:name w:val="Hyperlink"/>
    <w:rsid w:val="00DE5B1C"/>
    <w:rPr>
      <w:color w:val="0563C1"/>
      <w:u w:val="single"/>
    </w:rPr>
  </w:style>
  <w:style w:type="character" w:customStyle="1" w:styleId="a5">
    <w:name w:val="正文文本 字符"/>
    <w:basedOn w:val="a1"/>
    <w:link w:val="a0"/>
    <w:uiPriority w:val="99"/>
    <w:rsid w:val="0011379E"/>
    <w:rPr>
      <w:rFonts w:eastAsia="方正仿宋_GBK"/>
      <w:sz w:val="32"/>
      <w:szCs w:val="32"/>
    </w:rPr>
  </w:style>
  <w:style w:type="paragraph" w:styleId="af">
    <w:name w:val="Balloon Text"/>
    <w:basedOn w:val="a"/>
    <w:link w:val="af0"/>
    <w:rsid w:val="00894FC8"/>
    <w:pPr>
      <w:spacing w:line="240" w:lineRule="auto"/>
    </w:pPr>
    <w:rPr>
      <w:sz w:val="18"/>
      <w:szCs w:val="18"/>
    </w:rPr>
  </w:style>
  <w:style w:type="character" w:customStyle="1" w:styleId="af0">
    <w:name w:val="批注框文本 字符"/>
    <w:basedOn w:val="a1"/>
    <w:link w:val="af"/>
    <w:rsid w:val="00894FC8"/>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522">
      <w:bodyDiv w:val="1"/>
      <w:marLeft w:val="0"/>
      <w:marRight w:val="0"/>
      <w:marTop w:val="0"/>
      <w:marBottom w:val="0"/>
      <w:divBdr>
        <w:top w:val="none" w:sz="0" w:space="0" w:color="auto"/>
        <w:left w:val="none" w:sz="0" w:space="0" w:color="auto"/>
        <w:bottom w:val="none" w:sz="0" w:space="0" w:color="auto"/>
        <w:right w:val="none" w:sz="0" w:space="0" w:color="auto"/>
      </w:divBdr>
    </w:div>
    <w:div w:id="343946635">
      <w:bodyDiv w:val="1"/>
      <w:marLeft w:val="0"/>
      <w:marRight w:val="0"/>
      <w:marTop w:val="0"/>
      <w:marBottom w:val="0"/>
      <w:divBdr>
        <w:top w:val="none" w:sz="0" w:space="0" w:color="auto"/>
        <w:left w:val="none" w:sz="0" w:space="0" w:color="auto"/>
        <w:bottom w:val="none" w:sz="0" w:space="0" w:color="auto"/>
        <w:right w:val="none" w:sz="0" w:space="0" w:color="auto"/>
      </w:divBdr>
    </w:div>
    <w:div w:id="499470297">
      <w:bodyDiv w:val="1"/>
      <w:marLeft w:val="0"/>
      <w:marRight w:val="0"/>
      <w:marTop w:val="0"/>
      <w:marBottom w:val="0"/>
      <w:divBdr>
        <w:top w:val="none" w:sz="0" w:space="0" w:color="auto"/>
        <w:left w:val="none" w:sz="0" w:space="0" w:color="auto"/>
        <w:bottom w:val="none" w:sz="0" w:space="0" w:color="auto"/>
        <w:right w:val="none" w:sz="0" w:space="0" w:color="auto"/>
      </w:divBdr>
    </w:div>
    <w:div w:id="630669209">
      <w:bodyDiv w:val="1"/>
      <w:marLeft w:val="0"/>
      <w:marRight w:val="0"/>
      <w:marTop w:val="0"/>
      <w:marBottom w:val="0"/>
      <w:divBdr>
        <w:top w:val="none" w:sz="0" w:space="0" w:color="auto"/>
        <w:left w:val="none" w:sz="0" w:space="0" w:color="auto"/>
        <w:bottom w:val="none" w:sz="0" w:space="0" w:color="auto"/>
        <w:right w:val="none" w:sz="0" w:space="0" w:color="auto"/>
      </w:divBdr>
    </w:div>
    <w:div w:id="1079523935">
      <w:bodyDiv w:val="1"/>
      <w:marLeft w:val="0"/>
      <w:marRight w:val="0"/>
      <w:marTop w:val="0"/>
      <w:marBottom w:val="0"/>
      <w:divBdr>
        <w:top w:val="none" w:sz="0" w:space="0" w:color="auto"/>
        <w:left w:val="none" w:sz="0" w:space="0" w:color="auto"/>
        <w:bottom w:val="none" w:sz="0" w:space="0" w:color="auto"/>
        <w:right w:val="none" w:sz="0" w:space="0" w:color="auto"/>
      </w:divBdr>
    </w:div>
    <w:div w:id="1234046222">
      <w:bodyDiv w:val="1"/>
      <w:marLeft w:val="0"/>
      <w:marRight w:val="0"/>
      <w:marTop w:val="0"/>
      <w:marBottom w:val="0"/>
      <w:divBdr>
        <w:top w:val="none" w:sz="0" w:space="0" w:color="auto"/>
        <w:left w:val="none" w:sz="0" w:space="0" w:color="auto"/>
        <w:bottom w:val="none" w:sz="0" w:space="0" w:color="auto"/>
        <w:right w:val="none" w:sz="0" w:space="0" w:color="auto"/>
      </w:divBdr>
    </w:div>
    <w:div w:id="1269044598">
      <w:bodyDiv w:val="1"/>
      <w:marLeft w:val="0"/>
      <w:marRight w:val="0"/>
      <w:marTop w:val="0"/>
      <w:marBottom w:val="0"/>
      <w:divBdr>
        <w:top w:val="none" w:sz="0" w:space="0" w:color="auto"/>
        <w:left w:val="none" w:sz="0" w:space="0" w:color="auto"/>
        <w:bottom w:val="none" w:sz="0" w:space="0" w:color="auto"/>
        <w:right w:val="none" w:sz="0" w:space="0" w:color="auto"/>
      </w:divBdr>
    </w:div>
    <w:div w:id="1616404699">
      <w:bodyDiv w:val="1"/>
      <w:marLeft w:val="0"/>
      <w:marRight w:val="0"/>
      <w:marTop w:val="0"/>
      <w:marBottom w:val="0"/>
      <w:divBdr>
        <w:top w:val="none" w:sz="0" w:space="0" w:color="auto"/>
        <w:left w:val="none" w:sz="0" w:space="0" w:color="auto"/>
        <w:bottom w:val="none" w:sz="0" w:space="0" w:color="auto"/>
        <w:right w:val="none" w:sz="0" w:space="0" w:color="auto"/>
      </w:divBdr>
    </w:div>
    <w:div w:id="1790737573">
      <w:bodyDiv w:val="1"/>
      <w:marLeft w:val="0"/>
      <w:marRight w:val="0"/>
      <w:marTop w:val="0"/>
      <w:marBottom w:val="0"/>
      <w:divBdr>
        <w:top w:val="none" w:sz="0" w:space="0" w:color="auto"/>
        <w:left w:val="none" w:sz="0" w:space="0" w:color="auto"/>
        <w:bottom w:val="none" w:sz="0" w:space="0" w:color="auto"/>
        <w:right w:val="none" w:sz="0" w:space="0" w:color="auto"/>
      </w:divBdr>
    </w:div>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2024-07-03T11:08:00Z</dcterms:created>
  <dcterms:modified xsi:type="dcterms:W3CDTF">2024-07-03T11:08:00Z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