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590136" w:rsidRPr="00E47D8B" w:rsidRDefault="00590136" w:rsidP="00590136">
      <w:pPr>
        <w:spacing w:line="578" w:lineRule="exact"/>
        <w:jc w:val="center"/>
        <w:rPr>
          <w:rFonts w:eastAsia="方正小标宋_GBK"/>
          <w:sz w:val="44"/>
          <w:szCs w:val="44"/>
        </w:rPr>
      </w:pPr>
      <w:bookmarkStart w:id="0" w:name="正文文件"/>
      <w:bookmarkEnd w:id="0"/>
      <w:r w:rsidRPr="00E47D8B">
        <w:rPr>
          <w:rFonts w:eastAsia="方正小标宋_GBK" w:hint="eastAsia"/>
          <w:sz w:val="44"/>
          <w:szCs w:val="44"/>
        </w:rPr>
        <w:t>重庆市财政局关于</w:t>
      </w:r>
    </w:p>
    <w:p w:rsidR="00590136" w:rsidRPr="00E47D8B" w:rsidRDefault="00590136" w:rsidP="00590136">
      <w:pPr>
        <w:spacing w:line="578" w:lineRule="exact"/>
        <w:jc w:val="center"/>
        <w:rPr>
          <w:rFonts w:eastAsia="方正小标宋_GBK"/>
          <w:sz w:val="44"/>
          <w:szCs w:val="44"/>
        </w:rPr>
      </w:pPr>
      <w:r w:rsidRPr="00E47D8B">
        <w:rPr>
          <w:rFonts w:eastAsia="方正小标宋_GBK" w:hint="eastAsia"/>
          <w:sz w:val="44"/>
          <w:szCs w:val="44"/>
        </w:rPr>
        <w:t>提前下达</w:t>
      </w:r>
      <w:r w:rsidRPr="00E47D8B">
        <w:rPr>
          <w:rFonts w:eastAsia="方正小标宋_GBK" w:hint="eastAsia"/>
          <w:sz w:val="44"/>
          <w:szCs w:val="44"/>
        </w:rPr>
        <w:t>2020</w:t>
      </w:r>
      <w:r w:rsidRPr="00E47D8B">
        <w:rPr>
          <w:rFonts w:eastAsia="方正小标宋_GBK" w:hint="eastAsia"/>
          <w:sz w:val="44"/>
          <w:szCs w:val="44"/>
        </w:rPr>
        <w:t>年度充电基础设施建设</w:t>
      </w:r>
    </w:p>
    <w:p w:rsidR="00590136" w:rsidRPr="00E47D8B" w:rsidRDefault="00590136" w:rsidP="00590136">
      <w:pPr>
        <w:spacing w:line="578" w:lineRule="exact"/>
        <w:jc w:val="center"/>
        <w:rPr>
          <w:rFonts w:eastAsia="方正小标宋_GBK" w:hint="eastAsia"/>
          <w:sz w:val="44"/>
          <w:szCs w:val="44"/>
        </w:rPr>
      </w:pPr>
      <w:r w:rsidRPr="00E47D8B">
        <w:rPr>
          <w:rFonts w:eastAsia="方正小标宋_GBK" w:hint="eastAsia"/>
          <w:sz w:val="44"/>
          <w:szCs w:val="44"/>
        </w:rPr>
        <w:t>奖励资金预算的通知</w:t>
      </w:r>
    </w:p>
    <w:p w:rsidR="00590136" w:rsidRPr="00590136" w:rsidRDefault="00590136" w:rsidP="00590136">
      <w:pPr>
        <w:autoSpaceDE w:val="0"/>
        <w:autoSpaceDN w:val="0"/>
        <w:spacing w:line="600" w:lineRule="exact"/>
        <w:jc w:val="center"/>
        <w:rPr>
          <w:rFonts w:ascii="楷体" w:eastAsia="楷体" w:hAnsi="楷体" w:cs="楷体" w:hint="eastAsia"/>
        </w:rPr>
      </w:pPr>
      <w:bookmarkStart w:id="1" w:name="_GoBack"/>
      <w:r w:rsidRPr="00590136">
        <w:rPr>
          <w:rFonts w:ascii="楷体" w:eastAsia="楷体" w:hAnsi="楷体" w:cs="楷体" w:hint="eastAsia"/>
        </w:rPr>
        <w:t>渝财产业〔2023〕129号</w:t>
      </w:r>
    </w:p>
    <w:bookmarkEnd w:id="1"/>
    <w:p w:rsidR="00590136" w:rsidRPr="00E47D8B" w:rsidRDefault="00590136" w:rsidP="00590136">
      <w:pPr>
        <w:spacing w:line="578" w:lineRule="exact"/>
      </w:pPr>
    </w:p>
    <w:p w:rsidR="00590136" w:rsidRPr="00E47D8B" w:rsidRDefault="00590136" w:rsidP="00590136">
      <w:pPr>
        <w:spacing w:line="578" w:lineRule="exact"/>
      </w:pPr>
      <w:r w:rsidRPr="00E47D8B">
        <w:rPr>
          <w:rFonts w:hint="eastAsia"/>
        </w:rPr>
        <w:t>市经济信息委：</w:t>
      </w:r>
    </w:p>
    <w:p w:rsidR="00590136" w:rsidRPr="00E47D8B" w:rsidRDefault="00590136" w:rsidP="00590136">
      <w:pPr>
        <w:spacing w:line="578" w:lineRule="exact"/>
        <w:ind w:firstLineChars="200" w:firstLine="640"/>
      </w:pPr>
      <w:r w:rsidRPr="00E47D8B">
        <w:rPr>
          <w:rFonts w:hint="eastAsia"/>
        </w:rPr>
        <w:t>根据《关于“十三五”新能源汽车充电基础设施奖励政策及加强新能源汽车推广应用的通知》（财建〔</w:t>
      </w:r>
      <w:r w:rsidRPr="00E47D8B">
        <w:rPr>
          <w:rFonts w:hint="eastAsia"/>
        </w:rPr>
        <w:t>2016</w:t>
      </w:r>
      <w:r w:rsidRPr="00E47D8B">
        <w:rPr>
          <w:rFonts w:hint="eastAsia"/>
        </w:rPr>
        <w:t>〕</w:t>
      </w:r>
      <w:r w:rsidRPr="00E47D8B">
        <w:rPr>
          <w:rFonts w:hint="eastAsia"/>
        </w:rPr>
        <w:t>7</w:t>
      </w:r>
      <w:r w:rsidRPr="00E47D8B">
        <w:rPr>
          <w:rFonts w:hint="eastAsia"/>
        </w:rPr>
        <w:t>号）、《关于提前下达</w:t>
      </w:r>
      <w:r w:rsidRPr="00E47D8B">
        <w:rPr>
          <w:rFonts w:hint="eastAsia"/>
        </w:rPr>
        <w:t>202</w:t>
      </w:r>
      <w:r w:rsidRPr="00E47D8B">
        <w:t>4</w:t>
      </w:r>
      <w:r w:rsidRPr="00E47D8B">
        <w:rPr>
          <w:rFonts w:hint="eastAsia"/>
        </w:rPr>
        <w:t>年节能减排补助资金预算的通知》（财建〔</w:t>
      </w:r>
      <w:r w:rsidRPr="00E47D8B">
        <w:rPr>
          <w:rFonts w:hint="eastAsia"/>
        </w:rPr>
        <w:t>202</w:t>
      </w:r>
      <w:r w:rsidRPr="00E47D8B">
        <w:t>3</w:t>
      </w:r>
      <w:r w:rsidRPr="00E47D8B">
        <w:rPr>
          <w:rFonts w:hint="eastAsia"/>
        </w:rPr>
        <w:t>〕</w:t>
      </w:r>
      <w:r w:rsidRPr="00E47D8B">
        <w:rPr>
          <w:rFonts w:hint="eastAsia"/>
        </w:rPr>
        <w:t>3</w:t>
      </w:r>
      <w:r w:rsidRPr="00E47D8B">
        <w:t>36</w:t>
      </w:r>
      <w:r w:rsidRPr="00E47D8B">
        <w:rPr>
          <w:rFonts w:hint="eastAsia"/>
        </w:rPr>
        <w:t>号），现下达你委</w:t>
      </w:r>
      <w:r w:rsidRPr="00E47D8B">
        <w:rPr>
          <w:rFonts w:hint="eastAsia"/>
        </w:rPr>
        <w:t>2020</w:t>
      </w:r>
      <w:r w:rsidRPr="00E47D8B">
        <w:rPr>
          <w:rFonts w:hint="eastAsia"/>
        </w:rPr>
        <w:t>年度充电基础设施建设奖励资金预算</w:t>
      </w:r>
      <w:r w:rsidRPr="00E47D8B">
        <w:rPr>
          <w:rFonts w:hint="eastAsia"/>
        </w:rPr>
        <w:t>5850</w:t>
      </w:r>
      <w:r w:rsidRPr="00E47D8B">
        <w:rPr>
          <w:rFonts w:hint="eastAsia"/>
        </w:rPr>
        <w:t>万元，支出功能分类科目列“</w:t>
      </w:r>
      <w:r w:rsidRPr="00E47D8B">
        <w:rPr>
          <w:rFonts w:hint="eastAsia"/>
        </w:rPr>
        <w:t>2111001</w:t>
      </w:r>
      <w:r w:rsidRPr="00E47D8B">
        <w:rPr>
          <w:rFonts w:hint="eastAsia"/>
        </w:rPr>
        <w:t>能源节约利用”、支出经济分类科目列“</w:t>
      </w:r>
      <w:r w:rsidRPr="00E47D8B">
        <w:rPr>
          <w:rFonts w:hint="eastAsia"/>
        </w:rPr>
        <w:t>312</w:t>
      </w:r>
      <w:r w:rsidRPr="00E47D8B">
        <w:t>04</w:t>
      </w:r>
      <w:r w:rsidRPr="00E47D8B">
        <w:rPr>
          <w:rFonts w:hint="eastAsia"/>
        </w:rPr>
        <w:t>费用</w:t>
      </w:r>
      <w:r w:rsidRPr="00E47D8B">
        <w:t>补贴</w:t>
      </w:r>
      <w:r w:rsidRPr="00E47D8B">
        <w:rPr>
          <w:rFonts w:hint="eastAsia"/>
        </w:rPr>
        <w:t>”，</w:t>
      </w:r>
      <w:r w:rsidRPr="00E47D8B">
        <w:t>待</w:t>
      </w:r>
      <w:r w:rsidRPr="00E47D8B">
        <w:rPr>
          <w:rFonts w:hint="eastAsia"/>
        </w:rPr>
        <w:t>202</w:t>
      </w:r>
      <w:r w:rsidRPr="00E47D8B">
        <w:t>4</w:t>
      </w:r>
      <w:r w:rsidRPr="00E47D8B">
        <w:rPr>
          <w:rFonts w:hint="eastAsia"/>
        </w:rPr>
        <w:t>年预算年度开始后，按程序拨付使用。</w:t>
      </w:r>
    </w:p>
    <w:p w:rsidR="00590136" w:rsidRPr="00E47D8B" w:rsidRDefault="00590136" w:rsidP="00590136">
      <w:pPr>
        <w:spacing w:line="578" w:lineRule="exact"/>
        <w:ind w:firstLineChars="200" w:firstLine="640"/>
      </w:pPr>
      <w:r w:rsidRPr="00E47D8B">
        <w:rPr>
          <w:rFonts w:hint="eastAsia"/>
        </w:rPr>
        <w:t>请你委严格按照财建〔</w:t>
      </w:r>
      <w:r w:rsidRPr="00E47D8B">
        <w:rPr>
          <w:rFonts w:hint="eastAsia"/>
        </w:rPr>
        <w:t>2016</w:t>
      </w:r>
      <w:r w:rsidRPr="00E47D8B">
        <w:rPr>
          <w:rFonts w:hint="eastAsia"/>
        </w:rPr>
        <w:t>〕</w:t>
      </w:r>
      <w:r w:rsidRPr="00E47D8B">
        <w:rPr>
          <w:rFonts w:hint="eastAsia"/>
        </w:rPr>
        <w:t>7</w:t>
      </w:r>
      <w:r w:rsidRPr="00E47D8B">
        <w:rPr>
          <w:rFonts w:hint="eastAsia"/>
        </w:rPr>
        <w:t>号文件规定，将资金专项用于支持充电设施建设运营、改造升级、充换电服务网络运营监控系统建设等相关领域，不得用于新能源汽车购置补贴和新能源汽车运营补贴。同时，对照财建〔</w:t>
      </w:r>
      <w:r w:rsidRPr="00E47D8B">
        <w:rPr>
          <w:rFonts w:hint="eastAsia"/>
        </w:rPr>
        <w:t>202</w:t>
      </w:r>
      <w:r w:rsidRPr="00E47D8B">
        <w:t>3</w:t>
      </w:r>
      <w:r w:rsidRPr="00E47D8B">
        <w:rPr>
          <w:rFonts w:hint="eastAsia"/>
        </w:rPr>
        <w:t>〕</w:t>
      </w:r>
      <w:r w:rsidRPr="00E47D8B">
        <w:rPr>
          <w:rFonts w:hint="eastAsia"/>
        </w:rPr>
        <w:t>3</w:t>
      </w:r>
      <w:r w:rsidRPr="00E47D8B">
        <w:t>36</w:t>
      </w:r>
      <w:r w:rsidRPr="00E47D8B">
        <w:rPr>
          <w:rFonts w:hint="eastAsia"/>
        </w:rPr>
        <w:t>号文件所列绩效目标（详见附件），做好绩效监控，切实提高财政资金使用效益，并接受有关部门监督检查。</w:t>
      </w:r>
    </w:p>
    <w:p w:rsidR="00590136" w:rsidRPr="00E47D8B" w:rsidRDefault="00590136" w:rsidP="00590136">
      <w:pPr>
        <w:spacing w:line="578" w:lineRule="exact"/>
        <w:ind w:firstLineChars="200" w:firstLine="640"/>
        <w:rPr>
          <w:rFonts w:hint="eastAsia"/>
        </w:rPr>
      </w:pPr>
    </w:p>
    <w:p w:rsidR="00590136" w:rsidRPr="00E47D8B" w:rsidRDefault="00590136" w:rsidP="00590136">
      <w:pPr>
        <w:spacing w:line="578" w:lineRule="exact"/>
        <w:ind w:firstLineChars="200" w:firstLine="640"/>
      </w:pPr>
      <w:r w:rsidRPr="00E47D8B">
        <w:rPr>
          <w:rFonts w:hint="eastAsia"/>
        </w:rPr>
        <w:t>附件：提前</w:t>
      </w:r>
      <w:r w:rsidRPr="00E47D8B">
        <w:t>下达</w:t>
      </w:r>
      <w:r w:rsidRPr="00E47D8B">
        <w:rPr>
          <w:rFonts w:hint="eastAsia"/>
        </w:rPr>
        <w:t>202</w:t>
      </w:r>
      <w:r w:rsidRPr="00E47D8B">
        <w:t>4</w:t>
      </w:r>
      <w:r w:rsidRPr="00E47D8B">
        <w:rPr>
          <w:rFonts w:hint="eastAsia"/>
        </w:rPr>
        <w:t>年度节能减排补助资金绩效目标表</w:t>
      </w:r>
    </w:p>
    <w:p w:rsidR="00590136" w:rsidRPr="00E47D8B" w:rsidRDefault="00590136" w:rsidP="00590136">
      <w:pPr>
        <w:spacing w:line="578" w:lineRule="exact"/>
        <w:ind w:firstLineChars="200" w:firstLine="640"/>
      </w:pPr>
    </w:p>
    <w:p w:rsidR="00590136" w:rsidRPr="00E47D8B" w:rsidRDefault="00590136" w:rsidP="00590136">
      <w:pPr>
        <w:spacing w:line="578" w:lineRule="exact"/>
      </w:pPr>
    </w:p>
    <w:p w:rsidR="00590136" w:rsidRPr="00E47D8B" w:rsidRDefault="00590136" w:rsidP="00590136">
      <w:pPr>
        <w:spacing w:line="578" w:lineRule="exact"/>
      </w:pPr>
    </w:p>
    <w:p w:rsidR="00590136" w:rsidRPr="00E47D8B" w:rsidRDefault="00590136" w:rsidP="00590136">
      <w:pPr>
        <w:spacing w:line="578" w:lineRule="exact"/>
        <w:ind w:firstLineChars="1712" w:firstLine="5478"/>
      </w:pPr>
      <w:r w:rsidRPr="00E47D8B">
        <w:rPr>
          <w:rFonts w:hint="eastAsia"/>
        </w:rPr>
        <w:t>重庆市财政局</w:t>
      </w:r>
    </w:p>
    <w:p w:rsidR="00590136" w:rsidRPr="00E47D8B" w:rsidRDefault="00590136" w:rsidP="00590136">
      <w:pPr>
        <w:spacing w:line="578" w:lineRule="exact"/>
        <w:ind w:firstLineChars="1600" w:firstLine="5120"/>
      </w:pPr>
      <w:r w:rsidRPr="00E47D8B">
        <w:rPr>
          <w:rFonts w:hint="eastAsia"/>
        </w:rPr>
        <w:t>20</w:t>
      </w:r>
      <w:r w:rsidRPr="00E47D8B">
        <w:t>23</w:t>
      </w:r>
      <w:r w:rsidRPr="00E47D8B">
        <w:rPr>
          <w:rFonts w:hint="eastAsia"/>
        </w:rPr>
        <w:t>年</w:t>
      </w:r>
      <w:r w:rsidRPr="00E47D8B">
        <w:t>11</w:t>
      </w:r>
      <w:r w:rsidRPr="00E47D8B">
        <w:rPr>
          <w:rFonts w:hint="eastAsia"/>
        </w:rPr>
        <w:t>月</w:t>
      </w:r>
      <w:r w:rsidRPr="00E47D8B">
        <w:t>17</w:t>
      </w:r>
      <w:r w:rsidRPr="00E47D8B">
        <w:rPr>
          <w:rFonts w:hint="eastAsia"/>
        </w:rPr>
        <w:t>日</w:t>
      </w:r>
    </w:p>
    <w:p w:rsidR="00590136" w:rsidRPr="00E47D8B" w:rsidRDefault="00590136" w:rsidP="00590136">
      <w:pPr>
        <w:spacing w:line="578" w:lineRule="exact"/>
        <w:ind w:firstLineChars="200" w:firstLine="640"/>
      </w:pPr>
      <w:r w:rsidRPr="00E47D8B">
        <w:rPr>
          <w:rFonts w:hint="eastAsia"/>
        </w:rPr>
        <w:t>（此件主动公开</w:t>
      </w:r>
      <w:r w:rsidRPr="00E47D8B">
        <w:t>）</w:t>
      </w:r>
    </w:p>
    <w:p w:rsidR="00590136" w:rsidRPr="00E47D8B" w:rsidRDefault="00590136" w:rsidP="00590136">
      <w:pPr>
        <w:spacing w:line="578" w:lineRule="exact"/>
      </w:pPr>
    </w:p>
    <w:p w:rsidR="00590136" w:rsidRPr="00E47D8B" w:rsidRDefault="00590136" w:rsidP="00590136">
      <w:pPr>
        <w:spacing w:line="578" w:lineRule="exact"/>
      </w:pPr>
    </w:p>
    <w:p w:rsidR="00590136" w:rsidRPr="00E47D8B" w:rsidRDefault="00590136" w:rsidP="00590136">
      <w:pPr>
        <w:spacing w:line="578" w:lineRule="exact"/>
      </w:pPr>
    </w:p>
    <w:p w:rsidR="00590136" w:rsidRPr="00E47D8B" w:rsidRDefault="00590136" w:rsidP="00590136">
      <w:pPr>
        <w:spacing w:line="578" w:lineRule="exact"/>
      </w:pPr>
    </w:p>
    <w:p w:rsidR="00590136" w:rsidRPr="00E47D8B" w:rsidRDefault="00590136" w:rsidP="00590136">
      <w:pPr>
        <w:spacing w:line="578" w:lineRule="exact"/>
      </w:pPr>
    </w:p>
    <w:p w:rsidR="00590136" w:rsidRPr="00E47D8B" w:rsidRDefault="00590136" w:rsidP="00590136">
      <w:pPr>
        <w:spacing w:line="578" w:lineRule="exact"/>
        <w:rPr>
          <w:sz w:val="28"/>
          <w:szCs w:val="28"/>
        </w:rPr>
      </w:pPr>
      <w:r w:rsidRPr="00E47D8B">
        <w:br w:type="page"/>
      </w:r>
      <w:r w:rsidRPr="00E47D8B">
        <w:rPr>
          <w:rFonts w:eastAsia="方正黑体_GBK" w:hint="eastAsia"/>
        </w:rPr>
        <w:lastRenderedPageBreak/>
        <w:t>附件</w:t>
      </w:r>
    </w:p>
    <w:p w:rsidR="00590136" w:rsidRPr="00E47D8B" w:rsidRDefault="00590136" w:rsidP="00590136">
      <w:pPr>
        <w:widowControl/>
        <w:spacing w:line="578" w:lineRule="exact"/>
        <w:jc w:val="left"/>
      </w:pPr>
    </w:p>
    <w:p w:rsidR="00590136" w:rsidRPr="00E47D8B" w:rsidRDefault="00590136" w:rsidP="00590136">
      <w:pPr>
        <w:spacing w:line="578" w:lineRule="exact"/>
        <w:jc w:val="center"/>
        <w:rPr>
          <w:rFonts w:eastAsia="方正小标宋_GBK"/>
          <w:sz w:val="44"/>
          <w:szCs w:val="44"/>
        </w:rPr>
      </w:pPr>
      <w:r w:rsidRPr="00E47D8B">
        <w:rPr>
          <w:rFonts w:eastAsia="方正小标宋_GBK" w:hint="eastAsia"/>
          <w:sz w:val="44"/>
          <w:szCs w:val="44"/>
        </w:rPr>
        <w:t>提前</w:t>
      </w:r>
      <w:r w:rsidRPr="00E47D8B">
        <w:rPr>
          <w:rFonts w:eastAsia="方正小标宋_GBK"/>
          <w:sz w:val="44"/>
          <w:szCs w:val="44"/>
        </w:rPr>
        <w:t>下达</w:t>
      </w:r>
      <w:r w:rsidRPr="00E47D8B">
        <w:rPr>
          <w:rFonts w:eastAsia="方正小标宋_GBK" w:hint="eastAsia"/>
          <w:sz w:val="44"/>
          <w:szCs w:val="44"/>
        </w:rPr>
        <w:t>202</w:t>
      </w:r>
      <w:r w:rsidRPr="00E47D8B">
        <w:rPr>
          <w:rFonts w:eastAsia="方正小标宋_GBK"/>
          <w:sz w:val="44"/>
          <w:szCs w:val="44"/>
        </w:rPr>
        <w:t>4</w:t>
      </w:r>
      <w:r w:rsidRPr="00E47D8B">
        <w:rPr>
          <w:rFonts w:eastAsia="方正小标宋_GBK" w:hint="eastAsia"/>
          <w:sz w:val="44"/>
          <w:szCs w:val="44"/>
        </w:rPr>
        <w:t>年度节能减排</w:t>
      </w:r>
    </w:p>
    <w:p w:rsidR="00590136" w:rsidRPr="00E47D8B" w:rsidRDefault="00590136" w:rsidP="00590136">
      <w:pPr>
        <w:spacing w:line="578" w:lineRule="exact"/>
        <w:jc w:val="center"/>
        <w:rPr>
          <w:rFonts w:eastAsia="方正小标宋_GBK"/>
          <w:sz w:val="44"/>
          <w:szCs w:val="44"/>
        </w:rPr>
      </w:pPr>
      <w:r w:rsidRPr="00E47D8B">
        <w:rPr>
          <w:rFonts w:eastAsia="方正小标宋_GBK" w:hint="eastAsia"/>
          <w:sz w:val="44"/>
          <w:szCs w:val="44"/>
        </w:rPr>
        <w:t>补助资金绩效目标表</w:t>
      </w:r>
    </w:p>
    <w:p w:rsidR="00590136" w:rsidRPr="00E47D8B" w:rsidRDefault="00590136" w:rsidP="00590136">
      <w:pPr>
        <w:spacing w:line="578" w:lineRule="exact"/>
        <w:jc w:val="center"/>
      </w:pPr>
    </w:p>
    <w:tbl>
      <w:tblPr>
        <w:tblW w:w="9759" w:type="dxa"/>
        <w:jc w:val="center"/>
        <w:tblLook w:val="04A0" w:firstRow="1" w:lastRow="0" w:firstColumn="1" w:lastColumn="0" w:noHBand="0" w:noVBand="1"/>
      </w:tblPr>
      <w:tblGrid>
        <w:gridCol w:w="1309"/>
        <w:gridCol w:w="1727"/>
        <w:gridCol w:w="2242"/>
        <w:gridCol w:w="2268"/>
        <w:gridCol w:w="2213"/>
      </w:tblGrid>
      <w:tr w:rsidR="00590136" w:rsidRPr="00E47D8B" w:rsidTr="00ED23F2">
        <w:trPr>
          <w:trHeight w:val="540"/>
          <w:jc w:val="center"/>
        </w:trPr>
        <w:tc>
          <w:tcPr>
            <w:tcW w:w="3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项目名称</w:t>
            </w:r>
          </w:p>
        </w:tc>
        <w:tc>
          <w:tcPr>
            <w:tcW w:w="6723" w:type="dxa"/>
            <w:gridSpan w:val="3"/>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节能减排补助资金</w:t>
            </w:r>
          </w:p>
        </w:tc>
      </w:tr>
      <w:tr w:rsidR="00590136" w:rsidRPr="00E47D8B" w:rsidTr="00ED23F2">
        <w:trPr>
          <w:trHeight w:val="540"/>
          <w:jc w:val="center"/>
        </w:trPr>
        <w:tc>
          <w:tcPr>
            <w:tcW w:w="3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主管部门</w:t>
            </w:r>
          </w:p>
        </w:tc>
        <w:tc>
          <w:tcPr>
            <w:tcW w:w="6723" w:type="dxa"/>
            <w:gridSpan w:val="3"/>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重庆市经济和信息化委员会、财政局</w:t>
            </w:r>
          </w:p>
        </w:tc>
      </w:tr>
      <w:tr w:rsidR="00590136" w:rsidRPr="00E47D8B" w:rsidTr="00ED23F2">
        <w:trPr>
          <w:trHeight w:val="540"/>
          <w:jc w:val="center"/>
        </w:trPr>
        <w:tc>
          <w:tcPr>
            <w:tcW w:w="3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项目资金</w:t>
            </w:r>
          </w:p>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（万元）</w:t>
            </w:r>
          </w:p>
        </w:tc>
        <w:tc>
          <w:tcPr>
            <w:tcW w:w="4510" w:type="dxa"/>
            <w:gridSpan w:val="2"/>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年度资金总额：</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right"/>
              <w:rPr>
                <w:rFonts w:cs="宋体"/>
                <w:sz w:val="28"/>
                <w:szCs w:val="28"/>
              </w:rPr>
            </w:pPr>
            <w:r w:rsidRPr="00E47D8B">
              <w:rPr>
                <w:rFonts w:cs="宋体"/>
                <w:sz w:val="28"/>
                <w:szCs w:val="28"/>
              </w:rPr>
              <w:t>5850</w:t>
            </w:r>
          </w:p>
        </w:tc>
      </w:tr>
      <w:tr w:rsidR="00590136" w:rsidRPr="00E47D8B" w:rsidTr="00ED23F2">
        <w:trPr>
          <w:trHeight w:val="540"/>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4510" w:type="dxa"/>
            <w:gridSpan w:val="2"/>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rPr>
                <w:rFonts w:cs="宋体"/>
                <w:sz w:val="28"/>
                <w:szCs w:val="28"/>
              </w:rPr>
            </w:pPr>
            <w:r w:rsidRPr="00E47D8B">
              <w:rPr>
                <w:rFonts w:cs="宋体" w:hint="eastAsia"/>
                <w:sz w:val="28"/>
                <w:szCs w:val="28"/>
              </w:rPr>
              <w:t>其中：本年一般公共预算拨款</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right"/>
              <w:rPr>
                <w:rFonts w:cs="宋体"/>
                <w:sz w:val="28"/>
                <w:szCs w:val="28"/>
              </w:rPr>
            </w:pPr>
            <w:r w:rsidRPr="00E47D8B">
              <w:rPr>
                <w:rFonts w:cs="宋体" w:hint="eastAsia"/>
                <w:sz w:val="28"/>
                <w:szCs w:val="28"/>
              </w:rPr>
              <w:t>5850</w:t>
            </w:r>
          </w:p>
        </w:tc>
      </w:tr>
      <w:tr w:rsidR="00590136" w:rsidRPr="00E47D8B" w:rsidTr="00ED23F2">
        <w:trPr>
          <w:trHeight w:val="540"/>
          <w:jc w:val="center"/>
        </w:trPr>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4510" w:type="dxa"/>
            <w:gridSpan w:val="2"/>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ind w:firstLineChars="300" w:firstLine="840"/>
              <w:rPr>
                <w:rFonts w:cs="宋体"/>
                <w:sz w:val="28"/>
                <w:szCs w:val="28"/>
              </w:rPr>
            </w:pPr>
            <w:r w:rsidRPr="00E47D8B">
              <w:rPr>
                <w:rFonts w:cs="宋体" w:hint="eastAsia"/>
                <w:sz w:val="28"/>
                <w:szCs w:val="28"/>
              </w:rPr>
              <w:t>其他资金</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right"/>
              <w:rPr>
                <w:rFonts w:cs="宋体"/>
                <w:sz w:val="28"/>
                <w:szCs w:val="28"/>
              </w:rPr>
            </w:pPr>
            <w:r w:rsidRPr="00E47D8B">
              <w:rPr>
                <w:rFonts w:cs="宋体" w:hint="eastAsia"/>
                <w:sz w:val="28"/>
                <w:szCs w:val="28"/>
              </w:rPr>
              <w:t>0</w:t>
            </w:r>
          </w:p>
        </w:tc>
      </w:tr>
      <w:tr w:rsidR="00590136" w:rsidRPr="00E47D8B" w:rsidTr="00ED23F2">
        <w:trPr>
          <w:trHeight w:val="749"/>
          <w:jc w:val="center"/>
        </w:trPr>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总体</w:t>
            </w:r>
          </w:p>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目标</w:t>
            </w:r>
          </w:p>
        </w:tc>
        <w:tc>
          <w:tcPr>
            <w:tcW w:w="84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稳步推进新能源汽车充电基础设施建设，促进新能源汽车产业健康平稳发展。</w:t>
            </w:r>
          </w:p>
        </w:tc>
      </w:tr>
      <w:tr w:rsidR="00590136" w:rsidRPr="00E47D8B" w:rsidTr="00ED23F2">
        <w:trPr>
          <w:trHeight w:val="942"/>
          <w:jc w:val="center"/>
        </w:trPr>
        <w:tc>
          <w:tcPr>
            <w:tcW w:w="1309" w:type="dxa"/>
            <w:vMerge/>
            <w:tcBorders>
              <w:top w:val="nil"/>
              <w:left w:val="single" w:sz="4" w:space="0" w:color="auto"/>
              <w:bottom w:val="single" w:sz="4" w:space="0" w:color="000000"/>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8450" w:type="dxa"/>
            <w:gridSpan w:val="4"/>
            <w:vMerge/>
            <w:tcBorders>
              <w:top w:val="single" w:sz="4" w:space="0" w:color="auto"/>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cs="宋体"/>
                <w:sz w:val="28"/>
                <w:szCs w:val="28"/>
              </w:rPr>
            </w:pPr>
          </w:p>
        </w:tc>
      </w:tr>
      <w:tr w:rsidR="00590136" w:rsidRPr="00E47D8B" w:rsidTr="00ED23F2">
        <w:trPr>
          <w:trHeight w:val="424"/>
          <w:jc w:val="center"/>
        </w:trPr>
        <w:tc>
          <w:tcPr>
            <w:tcW w:w="13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绩效指标</w:t>
            </w:r>
          </w:p>
        </w:tc>
        <w:tc>
          <w:tcPr>
            <w:tcW w:w="1727"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一级指标</w:t>
            </w:r>
          </w:p>
        </w:tc>
        <w:tc>
          <w:tcPr>
            <w:tcW w:w="2242"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二级指标</w:t>
            </w:r>
          </w:p>
        </w:tc>
        <w:tc>
          <w:tcPr>
            <w:tcW w:w="2268"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三级指标</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eastAsia="方正黑体_GBK" w:cs="宋体"/>
                <w:sz w:val="28"/>
                <w:szCs w:val="28"/>
              </w:rPr>
            </w:pPr>
            <w:r w:rsidRPr="00E47D8B">
              <w:rPr>
                <w:rFonts w:eastAsia="方正黑体_GBK" w:cs="宋体" w:hint="eastAsia"/>
                <w:sz w:val="28"/>
                <w:szCs w:val="28"/>
              </w:rPr>
              <w:t>指标值</w:t>
            </w:r>
          </w:p>
        </w:tc>
      </w:tr>
      <w:tr w:rsidR="00590136" w:rsidRPr="00E47D8B" w:rsidTr="00ED23F2">
        <w:trPr>
          <w:trHeight w:val="1556"/>
          <w:jc w:val="center"/>
        </w:trPr>
        <w:tc>
          <w:tcPr>
            <w:tcW w:w="1309" w:type="dxa"/>
            <w:vMerge/>
            <w:tcBorders>
              <w:top w:val="nil"/>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1727" w:type="dxa"/>
            <w:tcBorders>
              <w:top w:val="nil"/>
              <w:left w:val="nil"/>
              <w:bottom w:val="single" w:sz="4" w:space="0" w:color="auto"/>
              <w:right w:val="single" w:sz="4" w:space="0" w:color="auto"/>
            </w:tcBorders>
            <w:shd w:val="clear" w:color="auto" w:fill="auto"/>
            <w:textDirection w:val="tbRlV"/>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产出指标</w:t>
            </w:r>
          </w:p>
        </w:tc>
        <w:tc>
          <w:tcPr>
            <w:tcW w:w="2242"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质量指标</w:t>
            </w:r>
          </w:p>
        </w:tc>
        <w:tc>
          <w:tcPr>
            <w:tcW w:w="2268"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奖励资金用于充电（加氢）基础设施建设、运营比例</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100%</w:t>
            </w:r>
          </w:p>
        </w:tc>
      </w:tr>
      <w:tr w:rsidR="00590136" w:rsidRPr="00E47D8B" w:rsidTr="00ED23F2">
        <w:trPr>
          <w:trHeight w:val="836"/>
          <w:jc w:val="center"/>
        </w:trPr>
        <w:tc>
          <w:tcPr>
            <w:tcW w:w="1309" w:type="dxa"/>
            <w:vMerge/>
            <w:tcBorders>
              <w:top w:val="nil"/>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1727" w:type="dxa"/>
            <w:vMerge w:val="restart"/>
            <w:tcBorders>
              <w:top w:val="nil"/>
              <w:left w:val="single" w:sz="4" w:space="0" w:color="auto"/>
              <w:bottom w:val="single" w:sz="4" w:space="0" w:color="000000"/>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效益指标</w:t>
            </w:r>
          </w:p>
        </w:tc>
        <w:tc>
          <w:tcPr>
            <w:tcW w:w="2242"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经济效益指标</w:t>
            </w:r>
          </w:p>
        </w:tc>
        <w:tc>
          <w:tcPr>
            <w:tcW w:w="2268"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产业低碳化</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显著提升</w:t>
            </w:r>
          </w:p>
        </w:tc>
      </w:tr>
      <w:tr w:rsidR="00590136" w:rsidRPr="00E47D8B" w:rsidTr="00ED23F2">
        <w:trPr>
          <w:trHeight w:val="836"/>
          <w:jc w:val="center"/>
        </w:trPr>
        <w:tc>
          <w:tcPr>
            <w:tcW w:w="1309" w:type="dxa"/>
            <w:vMerge/>
            <w:tcBorders>
              <w:top w:val="nil"/>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1727" w:type="dxa"/>
            <w:vMerge/>
            <w:tcBorders>
              <w:top w:val="nil"/>
              <w:left w:val="single" w:sz="4" w:space="0" w:color="auto"/>
              <w:bottom w:val="single" w:sz="4" w:space="0" w:color="000000"/>
              <w:right w:val="single" w:sz="4" w:space="0" w:color="auto"/>
            </w:tcBorders>
            <w:vAlign w:val="center"/>
            <w:hideMark/>
          </w:tcPr>
          <w:p w:rsidR="00590136" w:rsidRPr="00E47D8B" w:rsidRDefault="00590136" w:rsidP="00ED23F2">
            <w:pPr>
              <w:widowControl/>
              <w:spacing w:line="360" w:lineRule="exact"/>
              <w:jc w:val="left"/>
              <w:rPr>
                <w:rFonts w:cs="宋体"/>
                <w:sz w:val="28"/>
                <w:szCs w:val="2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社会效益指标</w:t>
            </w:r>
          </w:p>
        </w:tc>
        <w:tc>
          <w:tcPr>
            <w:tcW w:w="2268"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资源节约</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显著提升</w:t>
            </w:r>
          </w:p>
        </w:tc>
      </w:tr>
      <w:tr w:rsidR="00590136" w:rsidRPr="00E47D8B" w:rsidTr="00ED23F2">
        <w:trPr>
          <w:trHeight w:val="836"/>
          <w:jc w:val="center"/>
        </w:trPr>
        <w:tc>
          <w:tcPr>
            <w:tcW w:w="1309" w:type="dxa"/>
            <w:vMerge/>
            <w:tcBorders>
              <w:top w:val="nil"/>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1727" w:type="dxa"/>
            <w:vMerge/>
            <w:tcBorders>
              <w:top w:val="nil"/>
              <w:left w:val="single" w:sz="4" w:space="0" w:color="auto"/>
              <w:bottom w:val="single" w:sz="4" w:space="0" w:color="000000"/>
              <w:right w:val="single" w:sz="4" w:space="0" w:color="auto"/>
            </w:tcBorders>
            <w:vAlign w:val="center"/>
            <w:hideMark/>
          </w:tcPr>
          <w:p w:rsidR="00590136" w:rsidRPr="00E47D8B" w:rsidRDefault="00590136" w:rsidP="00ED23F2">
            <w:pPr>
              <w:widowControl/>
              <w:spacing w:line="360" w:lineRule="exact"/>
              <w:jc w:val="left"/>
              <w:rPr>
                <w:rFonts w:cs="宋体"/>
                <w:sz w:val="28"/>
                <w:szCs w:val="28"/>
              </w:rPr>
            </w:pP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生态效益指标</w:t>
            </w:r>
          </w:p>
        </w:tc>
        <w:tc>
          <w:tcPr>
            <w:tcW w:w="2268"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节能减排效果</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有所提升</w:t>
            </w:r>
          </w:p>
        </w:tc>
      </w:tr>
      <w:tr w:rsidR="00590136" w:rsidRPr="00E47D8B" w:rsidTr="00ED23F2">
        <w:trPr>
          <w:trHeight w:val="836"/>
          <w:jc w:val="center"/>
        </w:trPr>
        <w:tc>
          <w:tcPr>
            <w:tcW w:w="1309" w:type="dxa"/>
            <w:vMerge/>
            <w:tcBorders>
              <w:top w:val="nil"/>
              <w:left w:val="single" w:sz="4" w:space="0" w:color="auto"/>
              <w:bottom w:val="single" w:sz="4" w:space="0" w:color="auto"/>
              <w:right w:val="single" w:sz="4" w:space="0" w:color="auto"/>
            </w:tcBorders>
            <w:vAlign w:val="center"/>
            <w:hideMark/>
          </w:tcPr>
          <w:p w:rsidR="00590136" w:rsidRPr="00E47D8B" w:rsidRDefault="00590136" w:rsidP="00ED23F2">
            <w:pPr>
              <w:widowControl/>
              <w:spacing w:line="360" w:lineRule="exact"/>
              <w:jc w:val="left"/>
              <w:rPr>
                <w:rFonts w:eastAsia="方正黑体_GBK" w:cs="宋体"/>
                <w:sz w:val="28"/>
                <w:szCs w:val="28"/>
              </w:rPr>
            </w:pPr>
          </w:p>
        </w:tc>
        <w:tc>
          <w:tcPr>
            <w:tcW w:w="1727"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rPr>
                <w:rFonts w:cs="宋体"/>
                <w:sz w:val="28"/>
                <w:szCs w:val="28"/>
              </w:rPr>
            </w:pPr>
            <w:r w:rsidRPr="00E47D8B">
              <w:rPr>
                <w:rFonts w:cs="宋体" w:hint="eastAsia"/>
                <w:sz w:val="28"/>
                <w:szCs w:val="28"/>
              </w:rPr>
              <w:t>满意度指标</w:t>
            </w:r>
          </w:p>
        </w:tc>
        <w:tc>
          <w:tcPr>
            <w:tcW w:w="2242"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服务对象</w:t>
            </w:r>
          </w:p>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满意度指标</w:t>
            </w:r>
          </w:p>
        </w:tc>
        <w:tc>
          <w:tcPr>
            <w:tcW w:w="2268"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left"/>
              <w:rPr>
                <w:rFonts w:cs="宋体"/>
                <w:sz w:val="28"/>
                <w:szCs w:val="28"/>
              </w:rPr>
            </w:pPr>
            <w:r w:rsidRPr="00E47D8B">
              <w:rPr>
                <w:rFonts w:cs="宋体" w:hint="eastAsia"/>
                <w:sz w:val="28"/>
                <w:szCs w:val="28"/>
              </w:rPr>
              <w:t>受益企业、群众满意度</w:t>
            </w:r>
          </w:p>
        </w:tc>
        <w:tc>
          <w:tcPr>
            <w:tcW w:w="2213" w:type="dxa"/>
            <w:tcBorders>
              <w:top w:val="nil"/>
              <w:left w:val="nil"/>
              <w:bottom w:val="single" w:sz="4" w:space="0" w:color="auto"/>
              <w:right w:val="single" w:sz="4" w:space="0" w:color="auto"/>
            </w:tcBorders>
            <w:shd w:val="clear" w:color="auto" w:fill="auto"/>
            <w:vAlign w:val="center"/>
            <w:hideMark/>
          </w:tcPr>
          <w:p w:rsidR="00590136" w:rsidRPr="00E47D8B" w:rsidRDefault="00590136" w:rsidP="00ED23F2">
            <w:pPr>
              <w:widowControl/>
              <w:spacing w:line="360" w:lineRule="exact"/>
              <w:jc w:val="center"/>
              <w:rPr>
                <w:rFonts w:cs="宋体"/>
                <w:sz w:val="28"/>
                <w:szCs w:val="28"/>
              </w:rPr>
            </w:pPr>
            <w:r w:rsidRPr="00E47D8B">
              <w:rPr>
                <w:rFonts w:cs="宋体" w:hint="eastAsia"/>
                <w:sz w:val="28"/>
                <w:szCs w:val="28"/>
              </w:rPr>
              <w:t>≥</w:t>
            </w:r>
            <w:r w:rsidRPr="00E47D8B">
              <w:rPr>
                <w:rFonts w:cs="宋体" w:hint="eastAsia"/>
                <w:sz w:val="28"/>
                <w:szCs w:val="28"/>
              </w:rPr>
              <w:t>90%</w:t>
            </w:r>
          </w:p>
        </w:tc>
      </w:tr>
    </w:tbl>
    <w:p w:rsidR="00590136" w:rsidRPr="00E47D8B" w:rsidRDefault="00590136" w:rsidP="00590136">
      <w:pPr>
        <w:spacing w:line="578" w:lineRule="exact"/>
      </w:pPr>
    </w:p>
    <w:p w:rsidR="0026289F" w:rsidRPr="00913161" w:rsidRDefault="0026289F" w:rsidP="00590136">
      <w:pPr>
        <w:spacing w:line="578" w:lineRule="exact"/>
      </w:pPr>
    </w:p>
    <w:sectPr w:rsidR="0026289F" w:rsidRPr="00913161"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6D" w:rsidRDefault="00CD226D">
      <w:pPr>
        <w:spacing w:line="240" w:lineRule="auto"/>
      </w:pPr>
      <w:r>
        <w:separator/>
      </w:r>
    </w:p>
  </w:endnote>
  <w:endnote w:type="continuationSeparator" w:id="0">
    <w:p w:rsidR="00CD226D" w:rsidRDefault="00CD2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B0B60180-0A1F-47CD-AFF8-5392F9CB33B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C1011A6C-D0E6-423C-AEA8-F52943CC8D62}"/>
  </w:font>
  <w:font w:name="楷体">
    <w:panose1 w:val="02010609060101010101"/>
    <w:charset w:val="86"/>
    <w:family w:val="modern"/>
    <w:pitch w:val="fixed"/>
    <w:sig w:usb0="800002BF" w:usb1="38CF7CFA" w:usb2="00000016" w:usb3="00000000" w:csb0="00040001" w:csb1="00000000"/>
    <w:embedRegular r:id="rId3" w:subsetted="1" w:fontKey="{7494061E-2AFD-47BE-B800-530C7CF86E5E}"/>
  </w:font>
  <w:font w:name="方正黑体_GBK">
    <w:panose1 w:val="03000509000000000000"/>
    <w:charset w:val="86"/>
    <w:family w:val="script"/>
    <w:pitch w:val="fixed"/>
    <w:sig w:usb0="00000001" w:usb1="080E0000" w:usb2="00000010" w:usb3="00000000" w:csb0="00040000" w:csb1="00000000"/>
    <w:embedRegular r:id="rId4" w:subsetted="1" w:fontKey="{B9DF3DEA-B10F-4D3D-9359-53BEF12F70FC}"/>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013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013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6D" w:rsidRDefault="00CD226D">
      <w:pPr>
        <w:spacing w:line="240" w:lineRule="auto"/>
      </w:pPr>
      <w:r>
        <w:separator/>
      </w:r>
    </w:p>
  </w:footnote>
  <w:footnote w:type="continuationSeparator" w:id="0">
    <w:p w:rsidR="00CD226D" w:rsidRDefault="00CD2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3665F7"/>
    <w:rsid w:val="003E4E1E"/>
    <w:rsid w:val="00422805"/>
    <w:rsid w:val="00590136"/>
    <w:rsid w:val="00684D4D"/>
    <w:rsid w:val="00701060"/>
    <w:rsid w:val="00811547"/>
    <w:rsid w:val="00913161"/>
    <w:rsid w:val="00CD226D"/>
    <w:rsid w:val="00D854EB"/>
    <w:rsid w:val="00E92B2C"/>
    <w:rsid w:val="00EB10EE"/>
    <w:rsid w:val="00EE56B3"/>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2023-11-20T09:18:00Z</dcterms:created>
  <dcterms:modified xsi:type="dcterms:W3CDTF">2023-11-20T09:18:00Z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