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jc w:val="center"/>
        <w:rPr>
          <w:rFonts w:hint="eastAsia" w:ascii="宋体" w:hAnsi="宋体" w:eastAsia="宋体" w:cs="宋体"/>
          <w:sz w:val="32"/>
          <w:szCs w:val="32"/>
          <w:lang w:val="en-US" w:eastAsia="zh-CN"/>
        </w:rPr>
      </w:pPr>
    </w:p>
    <w:p>
      <w:pPr>
        <w:keepNext w:val="0"/>
        <w:keepLines w:val="0"/>
        <w:pageBreakBefore w:val="0"/>
        <w:kinsoku/>
        <w:wordWrap/>
        <w:overflowPunct/>
        <w:topLinePunct w:val="0"/>
        <w:autoSpaceDE/>
        <w:autoSpaceDN/>
        <w:bidi w:val="0"/>
        <w:snapToGrid/>
        <w:spacing w:line="600" w:lineRule="exact"/>
        <w:jc w:val="both"/>
        <w:rPr>
          <w:rFonts w:hint="eastAsia" w:ascii="宋体" w:hAnsi="宋体" w:eastAsia="宋体" w:cs="宋体"/>
          <w:sz w:val="32"/>
          <w:szCs w:val="32"/>
          <w:lang w:val="en-US" w:eastAsia="zh-CN"/>
        </w:rPr>
      </w:pPr>
    </w:p>
    <w:p>
      <w:pPr>
        <w:spacing w:line="578" w:lineRule="exact"/>
        <w:jc w:val="center"/>
        <w:rPr>
          <w:rFonts w:hint="eastAsia" w:ascii="方正小标宋_GBK" w:eastAsia="方正小标宋_GBK"/>
          <w:sz w:val="44"/>
          <w:szCs w:val="44"/>
        </w:rPr>
      </w:pPr>
      <w:r>
        <w:rPr>
          <w:rFonts w:hint="eastAsia" w:ascii="方正小标宋_GBK" w:eastAsia="方正小标宋_GBK"/>
          <w:sz w:val="44"/>
          <w:szCs w:val="44"/>
        </w:rPr>
        <w:t>重庆市财政局关于下达2023年</w:t>
      </w:r>
    </w:p>
    <w:p>
      <w:pPr>
        <w:spacing w:line="578" w:lineRule="exact"/>
        <w:jc w:val="center"/>
        <w:rPr>
          <w:rFonts w:hint="eastAsia" w:ascii="方正小标宋_GBK" w:eastAsia="方正小标宋_GBK"/>
          <w:sz w:val="44"/>
          <w:szCs w:val="44"/>
        </w:rPr>
      </w:pPr>
      <w:r>
        <w:rPr>
          <w:rFonts w:hint="eastAsia" w:ascii="方正小标宋_GBK" w:eastAsia="方正小标宋_GBK"/>
          <w:sz w:val="44"/>
          <w:szCs w:val="44"/>
        </w:rPr>
        <w:t>藏粮于地藏粮于技专项（农村产业融合方向）中央基建投资预算的通知</w:t>
      </w:r>
    </w:p>
    <w:p>
      <w:pPr>
        <w:autoSpaceDE w:val="0"/>
        <w:autoSpaceDN w:val="0"/>
        <w:adjustRightInd w:val="0"/>
        <w:spacing w:line="600" w:lineRule="exact"/>
        <w:jc w:val="center"/>
        <w:rPr>
          <w:rFonts w:hint="eastAsia" w:ascii="楷体" w:hAnsi="楷体" w:eastAsia="楷体" w:cs="楷体"/>
          <w:kern w:val="0"/>
          <w:sz w:val="32"/>
          <w:szCs w:val="32"/>
          <w:lang w:val="en-US" w:eastAsia="zh-CN" w:bidi="ar-SA"/>
        </w:rPr>
      </w:pPr>
      <w:bookmarkStart w:id="4" w:name="_GoBack"/>
      <w:r>
        <w:rPr>
          <w:rFonts w:hint="eastAsia" w:ascii="楷体" w:hAnsi="楷体" w:eastAsia="楷体" w:cs="楷体"/>
          <w:kern w:val="0"/>
          <w:sz w:val="32"/>
          <w:szCs w:val="32"/>
          <w:lang w:val="en-US" w:eastAsia="zh-CN" w:bidi="ar-SA"/>
        </w:rPr>
        <w:t>渝财农〔2023〕75号</w:t>
      </w:r>
    </w:p>
    <w:bookmarkEnd w:id="4"/>
    <w:p>
      <w:pPr>
        <w:spacing w:line="578" w:lineRule="exact"/>
        <w:ind w:firstLine="640" w:firstLineChars="200"/>
      </w:pPr>
    </w:p>
    <w:p>
      <w:pPr>
        <w:spacing w:line="578" w:lineRule="exact"/>
      </w:pPr>
      <w:r>
        <w:rPr>
          <w:rFonts w:hint="eastAsia"/>
        </w:rPr>
        <w:t>潼南</w:t>
      </w:r>
      <w:r>
        <w:t>区、梁平区</w:t>
      </w:r>
      <w:r>
        <w:rPr>
          <w:rFonts w:hint="eastAsia"/>
        </w:rPr>
        <w:t>财政局：</w:t>
      </w:r>
    </w:p>
    <w:p>
      <w:pPr>
        <w:spacing w:line="578" w:lineRule="exact"/>
        <w:ind w:firstLine="640" w:firstLineChars="200"/>
      </w:pPr>
      <w:r>
        <w:rPr>
          <w:rFonts w:hint="eastAsia"/>
        </w:rPr>
        <w:t>根据《财政部关于下达20</w:t>
      </w:r>
      <w:r>
        <w:t>23</w:t>
      </w:r>
      <w:r>
        <w:rPr>
          <w:rFonts w:hint="eastAsia"/>
        </w:rPr>
        <w:t>年藏粮</w:t>
      </w:r>
      <w:r>
        <w:t>于地藏粮于</w:t>
      </w:r>
      <w:r>
        <w:rPr>
          <w:rFonts w:hint="eastAsia"/>
        </w:rPr>
        <w:t>技</w:t>
      </w:r>
      <w:r>
        <w:t>专项</w:t>
      </w:r>
      <w:r>
        <w:rPr>
          <w:rFonts w:hint="eastAsia"/>
        </w:rPr>
        <w:t>（农村产</w:t>
      </w:r>
      <w:r>
        <w:t>业融合</w:t>
      </w:r>
      <w:r>
        <w:rPr>
          <w:rFonts w:hint="eastAsia"/>
        </w:rPr>
        <w:t>方向）中央基建投资预算的通知》（财建﹝20</w:t>
      </w:r>
      <w:r>
        <w:t>23</w:t>
      </w:r>
      <w:r>
        <w:rPr>
          <w:rFonts w:hint="eastAsia"/>
        </w:rPr>
        <w:t>﹞</w:t>
      </w:r>
      <w:r>
        <w:t>153</w:t>
      </w:r>
      <w:r>
        <w:rPr>
          <w:rFonts w:hint="eastAsia"/>
        </w:rPr>
        <w:t>号）、《重庆市发展和改革委员会关于下达重庆市藏粮</w:t>
      </w:r>
      <w:r>
        <w:t>于地藏粮于技专项（</w:t>
      </w:r>
      <w:r>
        <w:rPr>
          <w:rFonts w:hint="eastAsia"/>
        </w:rPr>
        <w:t>动植</w:t>
      </w:r>
      <w:r>
        <w:t>物保护能力提升工程</w:t>
      </w:r>
      <w:r>
        <w:rPr>
          <w:rFonts w:hint="eastAsia"/>
        </w:rPr>
        <w:t>方向</w:t>
      </w:r>
      <w:r>
        <w:t>）</w:t>
      </w:r>
      <w:r>
        <w:rPr>
          <w:rFonts w:hint="eastAsia"/>
        </w:rPr>
        <w:t>202</w:t>
      </w:r>
      <w:r>
        <w:t>3</w:t>
      </w:r>
      <w:r>
        <w:rPr>
          <w:rFonts w:hint="eastAsia"/>
        </w:rPr>
        <w:t>年</w:t>
      </w:r>
      <w:r>
        <w:t>中央预算内投资计划</w:t>
      </w:r>
      <w:r>
        <w:rPr>
          <w:rFonts w:hint="eastAsia"/>
        </w:rPr>
        <w:t>的通知》（渝发改投资﹝20</w:t>
      </w:r>
      <w:r>
        <w:t>23</w:t>
      </w:r>
      <w:r>
        <w:rPr>
          <w:rFonts w:hint="eastAsia"/>
        </w:rPr>
        <w:t>﹞</w:t>
      </w:r>
      <w:r>
        <w:t>766</w:t>
      </w:r>
      <w:r>
        <w:rPr>
          <w:rFonts w:hint="eastAsia"/>
        </w:rPr>
        <w:t>号），经研究，现将项目预算指标下达你们（详见附件），</w:t>
      </w:r>
      <w:r>
        <w:t>请按规定用途安排使用，分别列入</w:t>
      </w:r>
      <w:r>
        <w:rPr>
          <w:rFonts w:hint="eastAsia"/>
        </w:rPr>
        <w:t>202</w:t>
      </w:r>
      <w:r>
        <w:t>3</w:t>
      </w:r>
      <w:r>
        <w:rPr>
          <w:rFonts w:hint="eastAsia"/>
        </w:rPr>
        <w:t>年</w:t>
      </w:r>
      <w:r>
        <w:t>支出功能分类科目和支出经济分类科目，</w:t>
      </w:r>
      <w:r>
        <w:rPr>
          <w:rFonts w:hint="eastAsia"/>
        </w:rPr>
        <w:t>并接受财政部重庆监管局等部门的监督。其</w:t>
      </w:r>
      <w:r>
        <w:t>中</w:t>
      </w:r>
      <w:r>
        <w:rPr>
          <w:rFonts w:hint="eastAsia"/>
        </w:rPr>
        <w:t>，脱贫区县（自治县）按照</w:t>
      </w:r>
      <w:bookmarkStart w:id="0" w:name="字"/>
      <w:bookmarkStart w:id="1" w:name="局文号"/>
      <w:r>
        <w:rPr>
          <w:rFonts w:hint="eastAsia"/>
        </w:rPr>
        <w:t>重庆市财政局等13部门关于印发《重庆市继续支持脱贫区县统筹整合使用财政涉农资金试点工作实施细则》的通知（渝财农</w:t>
      </w:r>
      <w:bookmarkEnd w:id="0"/>
      <w:r>
        <w:rPr>
          <w:rFonts w:hint="eastAsia"/>
        </w:rPr>
        <w:t>〔</w:t>
      </w:r>
      <w:bookmarkStart w:id="2" w:name="年"/>
      <w:r>
        <w:rPr>
          <w:rFonts w:hint="eastAsia"/>
        </w:rPr>
        <w:t>2021</w:t>
      </w:r>
      <w:bookmarkEnd w:id="2"/>
      <w:r>
        <w:rPr>
          <w:rFonts w:hint="eastAsia"/>
        </w:rPr>
        <w:t>〕</w:t>
      </w:r>
      <w:bookmarkStart w:id="3" w:name="号"/>
      <w:r>
        <w:rPr>
          <w:rFonts w:hint="eastAsia"/>
        </w:rPr>
        <w:t>5</w:t>
      </w:r>
      <w:bookmarkEnd w:id="3"/>
      <w:r>
        <w:rPr>
          <w:rFonts w:hint="eastAsia"/>
        </w:rPr>
        <w:t>8号）</w:t>
      </w:r>
      <w:bookmarkEnd w:id="1"/>
      <w:r>
        <w:rPr>
          <w:rFonts w:hint="eastAsia"/>
        </w:rPr>
        <w:t>有</w:t>
      </w:r>
      <w:r>
        <w:t>关规定执行。</w:t>
      </w:r>
    </w:p>
    <w:p>
      <w:pPr>
        <w:spacing w:line="578" w:lineRule="exact"/>
        <w:ind w:firstLine="640" w:firstLineChars="200"/>
      </w:pPr>
      <w:r>
        <w:rPr>
          <w:rFonts w:hint="eastAsia"/>
        </w:rPr>
        <w:t>为提</w:t>
      </w:r>
      <w:r>
        <w:t>高资金使用效益，请迅速将资金分解下达到具体项目，</w:t>
      </w:r>
      <w:r>
        <w:rPr>
          <w:rFonts w:hint="eastAsia"/>
        </w:rPr>
        <w:t>加强资金管理，加快</w:t>
      </w:r>
      <w:r>
        <w:t>预算执行进度，强化资金绩效管理与</w:t>
      </w:r>
      <w:r>
        <w:rPr>
          <w:rFonts w:hint="eastAsia"/>
        </w:rPr>
        <w:t>监督。</w:t>
      </w:r>
    </w:p>
    <w:p>
      <w:pPr>
        <w:spacing w:line="578" w:lineRule="exact"/>
        <w:ind w:firstLine="640" w:firstLineChars="200"/>
      </w:pPr>
      <w:r>
        <w:rPr>
          <w:rFonts w:hint="eastAsia"/>
        </w:rPr>
        <w:t>按</w:t>
      </w:r>
      <w:r>
        <w:t>照预算绩效</w:t>
      </w:r>
      <w:r>
        <w:rPr>
          <w:rFonts w:hint="eastAsia"/>
        </w:rPr>
        <w:t>管理</w:t>
      </w:r>
      <w:r>
        <w:t>的有关规定，</w:t>
      </w:r>
      <w:r>
        <w:rPr>
          <w:rFonts w:hint="eastAsia"/>
        </w:rPr>
        <w:t>市发展改革委在</w:t>
      </w:r>
      <w:r>
        <w:t>组织预算执行中，</w:t>
      </w:r>
      <w:r>
        <w:rPr>
          <w:rFonts w:hint="eastAsia"/>
        </w:rPr>
        <w:t>要对照渝发改投资﹝202</w:t>
      </w:r>
      <w:r>
        <w:t>3</w:t>
      </w:r>
      <w:r>
        <w:rPr>
          <w:rFonts w:hint="eastAsia"/>
        </w:rPr>
        <w:t>﹞</w:t>
      </w:r>
      <w:r>
        <w:t>766</w:t>
      </w:r>
      <w:r>
        <w:rPr>
          <w:rFonts w:hint="eastAsia"/>
        </w:rPr>
        <w:t>号文件所列</w:t>
      </w:r>
      <w:r>
        <w:t>的绩效目标做好绩效监控，确保年度绩效目标如期实现</w:t>
      </w:r>
      <w:r>
        <w:rPr>
          <w:rFonts w:hint="eastAsia"/>
        </w:rPr>
        <w:t>和</w:t>
      </w:r>
      <w:r>
        <w:t>项目建设顺</w:t>
      </w:r>
      <w:r>
        <w:rPr>
          <w:rFonts w:hint="eastAsia"/>
        </w:rPr>
        <w:t>利</w:t>
      </w:r>
      <w:r>
        <w:t>实施</w:t>
      </w:r>
      <w:r>
        <w:rPr>
          <w:rFonts w:hint="eastAsia"/>
        </w:rPr>
        <w:t>，预算执行结束后，对照绩效目标</w:t>
      </w:r>
      <w:r>
        <w:t>，</w:t>
      </w:r>
      <w:r>
        <w:rPr>
          <w:rFonts w:hint="eastAsia"/>
        </w:rPr>
        <w:t>组织开展绩效自评，并将</w:t>
      </w:r>
      <w:r>
        <w:t>绩效自评报告报送相关主管部门</w:t>
      </w:r>
      <w:r>
        <w:rPr>
          <w:rFonts w:hint="eastAsia"/>
        </w:rPr>
        <w:t>。</w:t>
      </w:r>
    </w:p>
    <w:p>
      <w:pPr>
        <w:spacing w:line="578" w:lineRule="exact"/>
        <w:ind w:firstLine="640" w:firstLineChars="200"/>
      </w:pPr>
    </w:p>
    <w:p>
      <w:pPr>
        <w:spacing w:line="578" w:lineRule="exact"/>
        <w:ind w:firstLine="640" w:firstLineChars="200"/>
      </w:pPr>
      <w:r>
        <w:rPr>
          <w:rFonts w:hint="eastAsia"/>
        </w:rPr>
        <w:t>附件：重庆市藏粮于地藏粮于技专项（农村产</w:t>
      </w:r>
      <w:r>
        <w:t>业融合</w:t>
      </w:r>
      <w:r>
        <w:rPr>
          <w:rFonts w:hint="eastAsia"/>
        </w:rPr>
        <w:t>方向）</w:t>
      </w:r>
    </w:p>
    <w:p>
      <w:pPr>
        <w:spacing w:line="578" w:lineRule="exact"/>
        <w:ind w:firstLine="1600" w:firstLineChars="500"/>
        <w:rPr>
          <w:rFonts w:hint="eastAsia"/>
        </w:rPr>
      </w:pPr>
      <w:r>
        <w:rPr>
          <w:rFonts w:hint="eastAsia"/>
        </w:rPr>
        <w:t>2023年中央基建投资预算下达表</w:t>
      </w:r>
    </w:p>
    <w:p>
      <w:pPr>
        <w:spacing w:line="578" w:lineRule="exact"/>
      </w:pPr>
    </w:p>
    <w:p>
      <w:pPr>
        <w:spacing w:line="578" w:lineRule="exact"/>
      </w:pPr>
    </w:p>
    <w:p>
      <w:pPr>
        <w:spacing w:line="578" w:lineRule="exact"/>
        <w:ind w:firstLine="5206" w:firstLineChars="1627"/>
      </w:pPr>
      <w:r>
        <w:rPr>
          <w:rFonts w:hint="eastAsia"/>
        </w:rPr>
        <w:t>重庆市财政局</w:t>
      </w:r>
    </w:p>
    <w:p>
      <w:pPr>
        <w:spacing w:line="578" w:lineRule="exact"/>
        <w:ind w:firstLine="5011" w:firstLineChars="1566"/>
      </w:pPr>
      <w:r>
        <w:rPr>
          <w:rFonts w:hint="eastAsia"/>
        </w:rPr>
        <w:t>20</w:t>
      </w:r>
      <w:r>
        <w:t>23</w:t>
      </w:r>
      <w:r>
        <w:rPr>
          <w:rFonts w:hint="eastAsia"/>
        </w:rPr>
        <w:t>年</w:t>
      </w:r>
      <w:r>
        <w:t>7</w:t>
      </w:r>
      <w:r>
        <w:rPr>
          <w:rFonts w:hint="eastAsia"/>
        </w:rPr>
        <w:t>月</w:t>
      </w:r>
      <w:r>
        <w:t>31</w:t>
      </w:r>
      <w:r>
        <w:rPr>
          <w:rFonts w:hint="eastAsia"/>
        </w:rPr>
        <w:t>日</w:t>
      </w:r>
    </w:p>
    <w:p>
      <w:pPr>
        <w:spacing w:line="578" w:lineRule="exact"/>
        <w:ind w:firstLine="640" w:firstLineChars="200"/>
      </w:pPr>
      <w:r>
        <w:rPr>
          <w:rFonts w:hint="eastAsia"/>
        </w:rPr>
        <w:t>（此件主动</w:t>
      </w:r>
      <w:r>
        <w:t>公开）</w:t>
      </w:r>
    </w:p>
    <w:p>
      <w:pPr>
        <w:spacing w:line="578" w:lineRule="exact"/>
      </w:pPr>
    </w:p>
    <w:p>
      <w:pPr>
        <w:spacing w:line="578" w:lineRule="exact"/>
        <w:jc w:val="both"/>
        <w:rPr>
          <w:rFonts w:hint="eastAsia"/>
          <w:lang w:val="en-US" w:eastAsia="zh-CN"/>
        </w:rPr>
      </w:pPr>
    </w:p>
    <w:sectPr>
      <w:headerReference r:id="rId5" w:type="default"/>
      <w:footerReference r:id="rId6" w:type="default"/>
      <w:pgSz w:w="11906" w:h="16838"/>
      <w:pgMar w:top="1962" w:right="1474" w:bottom="1848" w:left="1587" w:header="851" w:footer="992" w:gutter="0"/>
      <w:pgBorders>
        <w:top w:val="none" w:sz="0" w:space="0"/>
        <w:left w:val="none" w:sz="0" w:space="0"/>
        <w:bottom w:val="none" w:sz="0" w:space="0"/>
        <w:right w:val="none" w:sz="0" w:space="0"/>
      </w:pgBorders>
      <w:pgNumType w:fmt="numberInDash"/>
      <w:cols w:space="72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panose1 w:val="03000509000000000000"/>
    <w:charset w:val="86"/>
    <w:family w:val="auto"/>
    <w:pitch w:val="default"/>
    <w:sig w:usb0="00000001" w:usb1="080E0000" w:usb2="00000000" w:usb3="00000000" w:csb0="00040000" w:csb1="00000000"/>
    <w:embedRegular r:id="rId1" w:fontKey="{358F003C-DF4C-45BC-8003-A06C6318BE5E}"/>
  </w:font>
  <w:font w:name="方正小标宋_GBK">
    <w:panose1 w:val="03000509000000000000"/>
    <w:charset w:val="86"/>
    <w:family w:val="script"/>
    <w:pitch w:val="default"/>
    <w:sig w:usb0="00000001" w:usb1="080E0000" w:usb2="00000000" w:usb3="00000000" w:csb0="00040000" w:csb1="00000000"/>
    <w:embedRegular r:id="rId2" w:fontKey="{B13B5B29-A411-4D7D-886C-873DFBE82611}"/>
  </w:font>
  <w:font w:name="楷体">
    <w:panose1 w:val="02010609060101010101"/>
    <w:charset w:val="86"/>
    <w:family w:val="auto"/>
    <w:pitch w:val="default"/>
    <w:sig w:usb0="800002BF" w:usb1="38CF7CFA" w:usb2="00000016" w:usb3="00000000" w:csb0="00040001" w:csb1="00000000"/>
    <w:embedRegular r:id="rId3" w:fontKey="{1CCD43D3-0849-4EEC-BA16-185977A23C3A}"/>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embedRegular r:id="rId4" w:fontKey="{8C4DCB1D-3B95-4F80-91E6-B18BED6E6CCD}"/>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7296"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R89qo3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AUfPaqNwIAAG8EAAAOAAAAAAAAAAEAIAAAAB8BAABkcnMvZTJvRG9jLnht&#10;bFBLBQYAAAAABgAGAFkBAADIBQAAAAA=&#10;">
              <v:fill on="f" focussize="0,0"/>
              <v:stroke on="f" weight="0.5pt"/>
              <v:imagedata o:title=""/>
              <o:lock v:ext="edit" aspectratio="f"/>
              <v:textbox inset="0mm,0mm,0mm,0mm" style="mso-fit-shape-to-text:t;">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7"/>
      <w:tabs>
        <w:tab w:val="center" w:pos="1480"/>
        <w:tab w:val="clear" w:pos="4153"/>
      </w:tabs>
      <w:wordWrap w:val="0"/>
      <w:ind w:left="2870" w:leftChars="897" w:firstLine="8134" w:firstLineChars="2905"/>
      <w:jc w:val="right"/>
      <w:rPr>
        <w:rFonts w:hint="eastAsia" w:ascii="宋体" w:hAnsi="宋体" w:eastAsia="宋体" w:cs="宋体"/>
        <w:b/>
        <w:bCs/>
        <w:color w:val="005192"/>
        <w:sz w:val="28"/>
        <w:szCs w:val="44"/>
        <w:lang w:val="en-US" w:eastAsia="zh-CN"/>
      </w:rPr>
    </w:pPr>
    <w:r>
      <w:rPr>
        <w:color w:val="FAFAFA"/>
        <w:sz w:val="28"/>
        <w:szCs w:val="28"/>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z&#10;p6XR1AAAAAYBAAAPAAAAAAAAAAEAIAAAACIAAABkcnMvZG93bnJldi54bWxQSwECFAAUAAAACACH&#10;TuJAB6gkL+8BAADDAwAADgAAAAAAAAABACAAAAAjAQAAZHJzL2Uyb0RvYy54bWxQSwUGAAAAAAYA&#10;BgBZAQAAhAUAAAAA&#10;">
              <v:fill on="f" focussize="0,0"/>
              <v:stroke weight="1.75pt" color="#005192" miterlimit="8" joinstyle="miter"/>
              <v:imagedata o:title=""/>
              <o:lock v:ext="edit" aspectratio="f"/>
            </v:line>
          </w:pict>
        </mc:Fallback>
      </mc:AlternateContent>
    </w:r>
    <w:r>
      <w:rPr>
        <w:rFonts w:hint="eastAsia"/>
        <w:color w:val="FAFAFA"/>
        <w:sz w:val="28"/>
        <w:szCs w:val="28"/>
        <w:lang w:val="en-US" w:eastAsia="zh-CN"/>
      </w:rPr>
      <w:t xml:space="preserve"> </w:t>
    </w:r>
    <w:r>
      <w:rPr>
        <w:rFonts w:hint="eastAsia" w:ascii="宋体" w:hAnsi="宋体" w:eastAsia="宋体" w:cs="宋体"/>
        <w:b/>
        <w:bCs/>
        <w:color w:val="005192"/>
        <w:sz w:val="28"/>
        <w:szCs w:val="44"/>
        <w:lang w:eastAsia="zh-CN"/>
      </w:rPr>
      <w:t>重庆市财政局发布</w:t>
    </w:r>
    <w:r>
      <w:rPr>
        <w:rFonts w:hint="eastAsia" w:ascii="宋体" w:hAnsi="宋体" w:eastAsia="宋体" w:cs="宋体"/>
        <w:b/>
        <w:bCs/>
        <w:color w:val="005192"/>
        <w:sz w:val="28"/>
        <w:szCs w:val="44"/>
        <w:lang w:val="en-US" w:eastAsia="zh-CN"/>
      </w:rPr>
      <w:t xml:space="preserve">     </w:t>
    </w:r>
  </w:p>
  <w:p>
    <w:pPr>
      <w:pStyle w:val="7"/>
      <w:wordWrap/>
      <w:spacing w:line="240" w:lineRule="auto"/>
      <w:ind w:left="5770" w:leftChars="1803" w:firstLine="6499" w:firstLineChars="2312"/>
      <w:jc w:val="left"/>
      <w:rPr>
        <w:rFonts w:hint="eastAsia" w:ascii="宋体" w:hAnsi="宋体" w:eastAsia="宋体" w:cs="宋体"/>
        <w:b/>
        <w:bCs/>
        <w:color w:val="005192"/>
        <w:sz w:val="28"/>
        <w:szCs w:val="28"/>
        <w:lang w:val="en-US" w:eastAsia="zh-CN"/>
      </w:rPr>
    </w:pPr>
  </w:p>
  <w:p>
    <w:pPr>
      <w:pStyle w:val="7"/>
      <w:wordWrap w:val="0"/>
      <w:ind w:left="7296" w:leftChars="2280" w:firstLine="5622" w:firstLineChars="2000"/>
      <w:jc w:val="right"/>
      <w:rPr>
        <w:rFonts w:hint="eastAsia" w:ascii="宋体" w:hAnsi="宋体" w:eastAsia="宋体" w:cs="宋体"/>
        <w:b/>
        <w:bCs/>
        <w:color w:val="005192"/>
        <w:sz w:val="28"/>
        <w:szCs w:val="44"/>
        <w:lang w:val="en-US" w:eastAsia="zh-C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sz w:val="32"/>
        <w:lang w:val="en-US" w:eastAsia="zh-CN"/>
      </w:rPr>
    </w:pPr>
    <w:r>
      <w:rPr>
        <w:rFonts w:hint="eastAsia" w:ascii="方正仿宋_GBK" w:hAnsi="方正仿宋_GBK" w:eastAsia="方正仿宋_GBK" w:cs="方正仿宋_GBK"/>
        <w:b/>
        <w:bCs/>
        <w:color w:val="000000"/>
        <w:sz w:val="32"/>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0795" r="18415" b="17780"/>
              <wp:wrapNone/>
              <wp:docPr id="1" name="直接连接符 4"/>
              <wp:cNvGraphicFramePr/>
              <a:graphic xmlns:a="http://schemas.openxmlformats.org/drawingml/2006/main">
                <a:graphicData uri="http://schemas.microsoft.com/office/word/2010/wordprocessingShape">
                  <wps:wsp>
                    <wps:cNvCnPr/>
                    <wps:spPr>
                      <a:xfrm>
                        <a:off x="0" y="0"/>
                        <a:ext cx="5620385" cy="0"/>
                      </a:xfrm>
                      <a:prstGeom prst="line">
                        <a:avLst/>
                      </a:prstGeom>
                      <a:ln w="22225" cap="flat" cmpd="sng">
                        <a:solidFill>
                          <a:srgbClr val="0070C0"/>
                        </a:solidFill>
                        <a:prstDash val="solid"/>
                        <a:miter/>
                        <a:headEnd type="none" w="med" len="med"/>
                        <a:tailEnd type="none" w="med" len="med"/>
                      </a:ln>
                    </wps:spPr>
                    <wps:bodyPr/>
                  </wps:wsp>
                </a:graphicData>
              </a:graphic>
            </wp:anchor>
          </w:drawing>
        </mc:Choice>
        <mc:Fallback>
          <w:pict>
            <v:line id="直接连接符 4" o:spid="_x0000_s1026" o:spt="20" style="position:absolute;left:0pt;margin-left:0pt;margin-top:54.35pt;height:0pt;width:442.55pt;z-index:251659264;mso-width-relative:page;mso-height-relative:page;" filled="f" stroked="t" coordsize="21600,21600" o:gfxdata="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PHthVdIAAAAIAQAADwAAAAAAAAABACAAAAAiAAAAZHJzL2Rvd25yZXYueG1sUEsBAhQAFAAAAAgA&#10;h07iQOem2VvyAQAA4wMAAA4AAAAAAAAAAQAgAAAAIQEAAGRycy9lMm9Eb2MueG1sUEsFBgAAAAAG&#10;AAYAWQEAAIUFAAAAAA==&#10;">
              <v:fill on="f" focussize="0,0"/>
              <v:stroke weight="1.75pt" color="#0070C0" joinstyle="miter"/>
              <v:imagedata o:title=""/>
              <o:lock v:ext="edit" aspectratio="f"/>
            </v:line>
          </w:pict>
        </mc:Fallback>
      </mc:AlternateContent>
    </w:r>
  </w:p>
  <w:p>
    <w:pPr>
      <w:pStyle w:val="7"/>
      <w:keepNext w:val="0"/>
      <w:keepLines w:val="0"/>
      <w:pageBreakBefore w:val="0"/>
      <w:widowControl w:val="0"/>
      <w:kinsoku/>
      <w:wordWrap/>
      <w:overflowPunct/>
      <w:topLinePunct w:val="0"/>
      <w:autoSpaceDE/>
      <w:autoSpaceDN/>
      <w:bidi w:val="0"/>
      <w:adjustRightInd/>
      <w:snapToGrid w:val="0"/>
      <w:jc w:val="left"/>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5240" b="15240"/>
          <wp:docPr id="2"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6" descr="国徽1024"/>
                  <pic:cNvPicPr>
                    <a:picLocks noChangeAspect="1"/>
                  </pic:cNvPicPr>
                </pic:nvPicPr>
                <pic:blipFill>
                  <a:blip r:embed="rId1"/>
                  <a:stretch>
                    <a:fillRect/>
                  </a:stretch>
                </pic:blipFill>
                <pic:spPr>
                  <a:xfrm>
                    <a:off x="0" y="0"/>
                    <a:ext cx="308610" cy="308610"/>
                  </a:xfrm>
                  <a:prstGeom prst="rect">
                    <a:avLst/>
                  </a:prstGeom>
                  <a:noFill/>
                  <a:ln>
                    <a:noFill/>
                  </a:ln>
                </pic:spPr>
              </pic:pic>
            </a:graphicData>
          </a:graphic>
        </wp:inline>
      </w:drawing>
    </w:r>
    <w:r>
      <w:rPr>
        <w:rFonts w:hint="eastAsia" w:ascii="宋体" w:hAnsi="宋体" w:eastAsia="宋体" w:cs="宋体"/>
        <w:b/>
        <w:bCs/>
        <w:color w:val="005192"/>
        <w:sz w:val="32"/>
        <w:lang w:val="en-US" w:eastAsia="zh-Hans"/>
      </w:rPr>
      <w:t>重庆市</w:t>
    </w:r>
    <w:r>
      <w:rPr>
        <w:rFonts w:hint="eastAsia" w:ascii="宋体" w:hAnsi="宋体" w:eastAsia="宋体" w:cs="宋体"/>
        <w:b/>
        <w:bCs/>
        <w:color w:val="005192"/>
        <w:sz w:val="32"/>
        <w:lang w:val="en-US" w:eastAsia="zh-CN"/>
      </w:rPr>
      <w:t>财政局</w:t>
    </w:r>
    <w:r>
      <w:rPr>
        <w:rFonts w:hint="eastAsia" w:ascii="宋体" w:hAnsi="宋体" w:eastAsia="宋体" w:cs="宋体"/>
        <w:b/>
        <w:bCs/>
        <w:color w:val="005192"/>
        <w:sz w:val="32"/>
        <w:szCs w:val="32"/>
        <w:lang w:val="en-US" w:eastAsia="zh-Hans"/>
      </w:rPr>
      <w:t>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g4MjdmYzZiMDhiNDZlOTU5NWQ4YWI5ODhjYmFjZjAifQ=="/>
  </w:docVars>
  <w:rsids>
    <w:rsidRoot w:val="00172A27"/>
    <w:rsid w:val="019E71BD"/>
    <w:rsid w:val="02693266"/>
    <w:rsid w:val="041C42DA"/>
    <w:rsid w:val="04B679C3"/>
    <w:rsid w:val="05F07036"/>
    <w:rsid w:val="064E7294"/>
    <w:rsid w:val="06E00104"/>
    <w:rsid w:val="080F63D8"/>
    <w:rsid w:val="09341458"/>
    <w:rsid w:val="098254C2"/>
    <w:rsid w:val="0A766EDE"/>
    <w:rsid w:val="0AD64BE8"/>
    <w:rsid w:val="0B0912D7"/>
    <w:rsid w:val="0C425FB0"/>
    <w:rsid w:val="0E025194"/>
    <w:rsid w:val="0F303700"/>
    <w:rsid w:val="152D2DCA"/>
    <w:rsid w:val="15D5325E"/>
    <w:rsid w:val="187168EA"/>
    <w:rsid w:val="196673CA"/>
    <w:rsid w:val="1B2F4AEE"/>
    <w:rsid w:val="1C3B5737"/>
    <w:rsid w:val="1CF734C9"/>
    <w:rsid w:val="1D5561CE"/>
    <w:rsid w:val="1D9F26E5"/>
    <w:rsid w:val="1DEC284C"/>
    <w:rsid w:val="1E4142AB"/>
    <w:rsid w:val="1E6523AC"/>
    <w:rsid w:val="22440422"/>
    <w:rsid w:val="22BB4BBB"/>
    <w:rsid w:val="254A5A20"/>
    <w:rsid w:val="25DE7970"/>
    <w:rsid w:val="29590EED"/>
    <w:rsid w:val="2AEB3417"/>
    <w:rsid w:val="2D502E74"/>
    <w:rsid w:val="31A15F24"/>
    <w:rsid w:val="324A1681"/>
    <w:rsid w:val="36FB1DF0"/>
    <w:rsid w:val="395347B5"/>
    <w:rsid w:val="39A232A0"/>
    <w:rsid w:val="39E745AA"/>
    <w:rsid w:val="3B2C087E"/>
    <w:rsid w:val="3B5A6BBB"/>
    <w:rsid w:val="3E2E249C"/>
    <w:rsid w:val="3ED70B09"/>
    <w:rsid w:val="3EDA13A6"/>
    <w:rsid w:val="4018096F"/>
    <w:rsid w:val="417B75E9"/>
    <w:rsid w:val="42F058B7"/>
    <w:rsid w:val="42F334A6"/>
    <w:rsid w:val="436109F6"/>
    <w:rsid w:val="441A38D4"/>
    <w:rsid w:val="4504239D"/>
    <w:rsid w:val="450B05EB"/>
    <w:rsid w:val="49BA174B"/>
    <w:rsid w:val="4BC77339"/>
    <w:rsid w:val="4C9236C5"/>
    <w:rsid w:val="4E250A85"/>
    <w:rsid w:val="4FFD4925"/>
    <w:rsid w:val="505C172E"/>
    <w:rsid w:val="506405EA"/>
    <w:rsid w:val="50827473"/>
    <w:rsid w:val="52443849"/>
    <w:rsid w:val="52511493"/>
    <w:rsid w:val="52F46F0B"/>
    <w:rsid w:val="532B6A10"/>
    <w:rsid w:val="537768AC"/>
    <w:rsid w:val="53D8014D"/>
    <w:rsid w:val="55003B4B"/>
    <w:rsid w:val="55E064E0"/>
    <w:rsid w:val="572C6D10"/>
    <w:rsid w:val="5DC34279"/>
    <w:rsid w:val="5F05475E"/>
    <w:rsid w:val="5FCD688E"/>
    <w:rsid w:val="5FF9BDAA"/>
    <w:rsid w:val="5FFE5333"/>
    <w:rsid w:val="603161C9"/>
    <w:rsid w:val="608816D1"/>
    <w:rsid w:val="60EF4E7F"/>
    <w:rsid w:val="648B0A32"/>
    <w:rsid w:val="665233C1"/>
    <w:rsid w:val="69AC0D42"/>
    <w:rsid w:val="6AD9688B"/>
    <w:rsid w:val="6D0E3F22"/>
    <w:rsid w:val="6D504A40"/>
    <w:rsid w:val="70746040"/>
    <w:rsid w:val="744E4660"/>
    <w:rsid w:val="753355A2"/>
    <w:rsid w:val="759F1C61"/>
    <w:rsid w:val="769F2DE8"/>
    <w:rsid w:val="76FDEB7C"/>
    <w:rsid w:val="79C65162"/>
    <w:rsid w:val="7A7910B7"/>
    <w:rsid w:val="7C41577F"/>
    <w:rsid w:val="7C9011D9"/>
    <w:rsid w:val="7DC651C5"/>
    <w:rsid w:val="7DF350ED"/>
    <w:rsid w:val="7EF87D63"/>
    <w:rsid w:val="7F407923"/>
    <w:rsid w:val="7F9DA0E8"/>
    <w:rsid w:val="7FCC2834"/>
    <w:rsid w:val="7FF6A4EF"/>
    <w:rsid w:val="92DD1CEF"/>
    <w:rsid w:val="F05B4F69"/>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pacing w:line="312" w:lineRule="atLeast"/>
      <w:jc w:val="both"/>
      <w:textAlignment w:val="baseline"/>
    </w:pPr>
    <w:rPr>
      <w:rFonts w:ascii="Times New Roman" w:hAnsi="Times New Roman" w:eastAsia="方正仿宋_GBK" w:cs="Times New Roman"/>
      <w:sz w:val="32"/>
      <w:szCs w:val="32"/>
      <w:lang w:val="en-US" w:eastAsia="zh-CN" w:bidi="ar-SA"/>
    </w:rPr>
  </w:style>
  <w:style w:type="paragraph" w:styleId="4">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0">
    <w:name w:val="Default Paragraph Font"/>
    <w:link w:val="11"/>
    <w:semiHidden/>
    <w:qFormat/>
    <w:uiPriority w:val="0"/>
    <w:rPr>
      <w:rFonts w:ascii="Calibri" w:hAnsi="Calibri"/>
      <w:szCs w:val="24"/>
    </w:rPr>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Lines="0" w:afterAutospacing="0"/>
    </w:pPr>
  </w:style>
  <w:style w:type="paragraph" w:styleId="3">
    <w:name w:val="Body Text First Indent"/>
    <w:basedOn w:val="2"/>
    <w:qFormat/>
    <w:uiPriority w:val="0"/>
    <w:pPr>
      <w:spacing w:after="160"/>
      <w:ind w:firstLine="420" w:firstLineChars="100"/>
    </w:pPr>
  </w:style>
  <w:style w:type="paragraph" w:styleId="5">
    <w:name w:val="annotation text"/>
    <w:basedOn w:val="1"/>
    <w:qFormat/>
    <w:uiPriority w:val="0"/>
    <w:pPr>
      <w:jc w:val="left"/>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next w:val="6"/>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right"/>
      <w:outlineLvl w:val="9"/>
    </w:pPr>
    <w:rPr>
      <w:sz w:val="28"/>
    </w:rPr>
  </w:style>
  <w:style w:type="paragraph" w:styleId="8">
    <w:name w:val="Normal (Web)"/>
    <w:basedOn w:val="1"/>
    <w:qFormat/>
    <w:uiPriority w:val="0"/>
    <w:pPr>
      <w:spacing w:before="100" w:beforeAutospacing="1" w:after="100" w:afterAutospacing="1"/>
      <w:ind w:left="0" w:right="0"/>
      <w:jc w:val="left"/>
    </w:pPr>
    <w:rPr>
      <w:kern w:val="0"/>
      <w:sz w:val="24"/>
      <w:lang w:val="en-US" w:eastAsia="zh-CN" w:bidi="ar"/>
    </w:rPr>
  </w:style>
  <w:style w:type="paragraph" w:customStyle="1" w:styleId="11">
    <w:name w:val="默认段落字体 Para Char Char Char Char Char Char Char Char Char Char Char Char"/>
    <w:basedOn w:val="1"/>
    <w:link w:val="10"/>
    <w:qFormat/>
    <w:uiPriority w:val="0"/>
    <w:pPr>
      <w:tabs>
        <w:tab w:val="right" w:pos="-2120"/>
      </w:tabs>
      <w:snapToGrid w:val="0"/>
    </w:pPr>
    <w:rPr>
      <w:rFonts w:ascii="Calibri" w:hAnsi="Calibri"/>
      <w:szCs w:val="24"/>
    </w:rPr>
  </w:style>
  <w:style w:type="character" w:styleId="12">
    <w:name w:val="Strong"/>
    <w:basedOn w:val="10"/>
    <w:qFormat/>
    <w:uiPriority w:val="0"/>
    <w:rPr>
      <w:b/>
      <w:bCs/>
    </w:rPr>
  </w:style>
  <w:style w:type="character" w:styleId="13">
    <w:name w:val="page number"/>
    <w:basedOn w:val="10"/>
    <w:qFormat/>
    <w:uiPriority w:val="0"/>
  </w:style>
  <w:style w:type="paragraph" w:customStyle="1" w:styleId="14">
    <w:name w:val="Normal (Web)"/>
    <w:basedOn w:val="1"/>
    <w:qFormat/>
    <w:uiPriority w:val="0"/>
    <w:pPr>
      <w:jc w:val="left"/>
    </w:pPr>
    <w:rPr>
      <w:rFonts w:ascii="Calibri" w:hAnsi="Calibri"/>
      <w:kern w:val="0"/>
      <w:sz w:val="24"/>
      <w:szCs w:val="24"/>
    </w:rPr>
  </w:style>
  <w:style w:type="paragraph" w:customStyle="1" w:styleId="15">
    <w:name w:val="p0"/>
    <w:basedOn w:val="1"/>
    <w:qFormat/>
    <w:uiPriority w:val="0"/>
    <w:pPr>
      <w:widowControl/>
    </w:pPr>
    <w:rPr>
      <w:rFonts w:ascii="Calibri" w:hAnsi="Calibri" w:eastAsia="宋体" w:cs="宋体"/>
      <w:kern w:val="0"/>
      <w:szCs w:val="3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2842</Words>
  <Characters>3287</Characters>
  <Lines>1</Lines>
  <Paragraphs>1</Paragraphs>
  <TotalTime>2</TotalTime>
  <ScaleCrop>false</ScaleCrop>
  <LinksUpToDate>false</LinksUpToDate>
  <CharactersWithSpaces>3307</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昌旭</cp:lastModifiedBy>
  <cp:lastPrinted>2022-05-12T00:46:00Z</cp:lastPrinted>
  <dcterms:modified xsi:type="dcterms:W3CDTF">2023-08-01T07:26:29Z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D81A7D52450C4C20952CFBC2E4916140</vt:lpwstr>
  </property>
</Properties>
</file>