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7A" w:rsidRDefault="00F4217A">
      <w:pPr>
        <w:spacing w:line="600" w:lineRule="exact"/>
        <w:rPr>
          <w:rFonts w:ascii="宋体" w:eastAsia="宋体" w:hAnsi="宋体" w:cs="宋体"/>
        </w:rPr>
      </w:pPr>
    </w:p>
    <w:p w:rsidR="00915E9C" w:rsidRPr="0093699B" w:rsidRDefault="00915E9C" w:rsidP="00915E9C">
      <w:pPr>
        <w:snapToGrid w:val="0"/>
        <w:spacing w:line="578" w:lineRule="exact"/>
        <w:jc w:val="center"/>
        <w:rPr>
          <w:rFonts w:ascii="tim" w:eastAsia="方正小标宋_GBK" w:hAnsi="tim"/>
          <w:sz w:val="44"/>
          <w:szCs w:val="44"/>
        </w:rPr>
      </w:pPr>
      <w:r w:rsidRPr="0093699B">
        <w:rPr>
          <w:rFonts w:ascii="tim" w:eastAsia="方正小标宋_GBK" w:hAnsi="tim"/>
          <w:sz w:val="44"/>
          <w:szCs w:val="44"/>
        </w:rPr>
        <w:t>重庆市财政局</w:t>
      </w:r>
      <w:r w:rsidRPr="0093699B">
        <w:rPr>
          <w:rFonts w:ascii="tim" w:eastAsia="方正小标宋_GBK" w:hAnsi="tim"/>
          <w:sz w:val="44"/>
          <w:szCs w:val="44"/>
        </w:rPr>
        <w:t xml:space="preserve"> </w:t>
      </w:r>
      <w:r w:rsidRPr="0093699B">
        <w:rPr>
          <w:rFonts w:ascii="tim" w:eastAsia="方正小标宋_GBK" w:hAnsi="tim"/>
          <w:sz w:val="44"/>
          <w:szCs w:val="44"/>
        </w:rPr>
        <w:t>重庆市生态环境局</w:t>
      </w:r>
    </w:p>
    <w:p w:rsidR="00915E9C" w:rsidRPr="0093699B" w:rsidRDefault="00915E9C" w:rsidP="00915E9C">
      <w:pPr>
        <w:snapToGrid w:val="0"/>
        <w:spacing w:line="578" w:lineRule="exact"/>
        <w:jc w:val="center"/>
        <w:rPr>
          <w:rFonts w:ascii="tim" w:eastAsia="方正小标宋_GBK" w:hAnsi="tim"/>
          <w:sz w:val="44"/>
          <w:szCs w:val="44"/>
        </w:rPr>
      </w:pPr>
      <w:r w:rsidRPr="0093699B">
        <w:rPr>
          <w:rFonts w:ascii="tim" w:eastAsia="方正小标宋_GBK" w:hAnsi="tim"/>
          <w:sz w:val="44"/>
          <w:szCs w:val="44"/>
        </w:rPr>
        <w:t>关于印发《重庆市深化市内流域横向生态保护</w:t>
      </w:r>
    </w:p>
    <w:p w:rsidR="00915E9C" w:rsidRDefault="00915E9C" w:rsidP="00915E9C">
      <w:pPr>
        <w:snapToGrid w:val="0"/>
        <w:spacing w:line="578" w:lineRule="exact"/>
        <w:jc w:val="center"/>
        <w:rPr>
          <w:rFonts w:ascii="tim" w:eastAsia="方正小标宋_GBK" w:hAnsi="tim"/>
          <w:sz w:val="44"/>
          <w:szCs w:val="44"/>
        </w:rPr>
      </w:pPr>
      <w:r w:rsidRPr="0093699B">
        <w:rPr>
          <w:rFonts w:ascii="tim" w:eastAsia="方正小标宋_GBK" w:hAnsi="tim"/>
          <w:sz w:val="44"/>
          <w:szCs w:val="44"/>
        </w:rPr>
        <w:t>补偿机制实施方案》的通知</w:t>
      </w:r>
    </w:p>
    <w:p w:rsidR="00915E9C" w:rsidRPr="00915E9C" w:rsidRDefault="00915E9C" w:rsidP="00915E9C">
      <w:pPr>
        <w:pStyle w:val="a0"/>
        <w:jc w:val="center"/>
        <w:rPr>
          <w:rFonts w:ascii="楷体" w:eastAsia="楷体" w:hAnsi="楷体" w:hint="eastAsia"/>
        </w:rPr>
      </w:pPr>
      <w:r w:rsidRPr="00915E9C">
        <w:rPr>
          <w:rFonts w:ascii="楷体" w:eastAsia="楷体" w:hAnsi="楷体" w:hint="eastAsia"/>
        </w:rPr>
        <w:t>渝财环〔2023〕33号</w:t>
      </w:r>
    </w:p>
    <w:p w:rsidR="00915E9C" w:rsidRPr="0093699B" w:rsidRDefault="00915E9C" w:rsidP="00915E9C">
      <w:pPr>
        <w:pStyle w:val="a8"/>
        <w:snapToGrid w:val="0"/>
        <w:spacing w:before="0" w:beforeAutospacing="0" w:after="0" w:afterAutospacing="0" w:line="578" w:lineRule="exact"/>
        <w:jc w:val="center"/>
        <w:rPr>
          <w:rFonts w:ascii="tim" w:hAnsi="tim"/>
          <w:sz w:val="32"/>
        </w:rPr>
      </w:pPr>
    </w:p>
    <w:p w:rsidR="00915E9C" w:rsidRPr="0093699B" w:rsidRDefault="00915E9C" w:rsidP="00915E9C">
      <w:pPr>
        <w:snapToGrid w:val="0"/>
        <w:spacing w:line="578" w:lineRule="exact"/>
        <w:rPr>
          <w:rFonts w:ascii="tim" w:hAnsi="tim"/>
        </w:rPr>
      </w:pPr>
      <w:r w:rsidRPr="0093699B">
        <w:rPr>
          <w:rFonts w:ascii="tim" w:hAnsi="tim" w:hint="eastAsia"/>
        </w:rPr>
        <w:t>有关</w:t>
      </w:r>
      <w:r w:rsidRPr="0093699B">
        <w:rPr>
          <w:rFonts w:ascii="tim" w:hAnsi="tim"/>
        </w:rPr>
        <w:t>区县（自治县）人民政府，两江新区、西部科学城重庆高新区、万盛经开区管委会，</w:t>
      </w:r>
      <w:r w:rsidRPr="0093699B">
        <w:rPr>
          <w:rFonts w:ascii="tim" w:hAnsi="tim" w:hint="eastAsia"/>
        </w:rPr>
        <w:t>市政府有关部门</w:t>
      </w:r>
      <w:r w:rsidRPr="0093699B">
        <w:rPr>
          <w:rFonts w:ascii="tim" w:hAnsi="tim"/>
        </w:rPr>
        <w:t>，有关单位：</w:t>
      </w:r>
    </w:p>
    <w:p w:rsidR="00915E9C" w:rsidRPr="0093699B" w:rsidRDefault="00915E9C" w:rsidP="00915E9C">
      <w:pPr>
        <w:snapToGrid w:val="0"/>
        <w:spacing w:line="578" w:lineRule="exact"/>
        <w:ind w:firstLineChars="200" w:firstLine="640"/>
        <w:rPr>
          <w:rFonts w:ascii="tim" w:hAnsi="tim"/>
        </w:rPr>
      </w:pPr>
      <w:r w:rsidRPr="0093699B">
        <w:rPr>
          <w:rFonts w:ascii="tim" w:hAnsi="tim"/>
        </w:rPr>
        <w:t>《</w:t>
      </w:r>
      <w:r w:rsidRPr="0093699B">
        <w:rPr>
          <w:rFonts w:ascii="tim" w:hAnsi="tim" w:hint="eastAsia"/>
        </w:rPr>
        <w:t>重庆市深化市内流域横向生态保护补偿机制实施方案</w:t>
      </w:r>
      <w:r w:rsidRPr="0093699B">
        <w:rPr>
          <w:rFonts w:ascii="tim" w:hAnsi="tim"/>
        </w:rPr>
        <w:t>》已经市政府同意，现印发给你们，请认真贯彻执行。</w:t>
      </w:r>
    </w:p>
    <w:p w:rsidR="00915E9C" w:rsidRPr="0093699B" w:rsidRDefault="00915E9C" w:rsidP="00915E9C">
      <w:pPr>
        <w:spacing w:line="578" w:lineRule="exact"/>
        <w:rPr>
          <w:rFonts w:ascii="tim" w:hAnsi="tim"/>
        </w:rPr>
      </w:pPr>
    </w:p>
    <w:p w:rsidR="00915E9C" w:rsidRPr="0093699B" w:rsidRDefault="00915E9C" w:rsidP="003A6FC0">
      <w:pPr>
        <w:spacing w:line="578" w:lineRule="exact"/>
        <w:jc w:val="right"/>
        <w:rPr>
          <w:rFonts w:ascii="tim" w:hAnsi="tim"/>
        </w:rPr>
      </w:pPr>
      <w:r w:rsidRPr="0093699B">
        <w:rPr>
          <w:rFonts w:ascii="tim" w:hAnsi="tim" w:hint="eastAsia"/>
        </w:rPr>
        <w:t>重庆市财政局</w:t>
      </w:r>
      <w:r w:rsidRPr="0093699B">
        <w:rPr>
          <w:rFonts w:ascii="tim" w:hAnsi="tim" w:hint="eastAsia"/>
        </w:rPr>
        <w:t xml:space="preserve"> </w:t>
      </w:r>
      <w:r w:rsidRPr="0093699B">
        <w:rPr>
          <w:rFonts w:ascii="tim" w:hAnsi="tim"/>
        </w:rPr>
        <w:t xml:space="preserve">  </w:t>
      </w:r>
      <w:r w:rsidRPr="0093699B">
        <w:rPr>
          <w:rFonts w:ascii="tim" w:hAnsi="tim" w:hint="eastAsia"/>
        </w:rPr>
        <w:t xml:space="preserve">   </w:t>
      </w:r>
      <w:r w:rsidRPr="0093699B">
        <w:rPr>
          <w:rFonts w:ascii="tim" w:hAnsi="tim" w:hint="eastAsia"/>
        </w:rPr>
        <w:t>重庆市生态环境局</w:t>
      </w:r>
    </w:p>
    <w:p w:rsidR="00915E9C" w:rsidRDefault="00915E9C" w:rsidP="003A6FC0">
      <w:pPr>
        <w:spacing w:line="578" w:lineRule="exact"/>
        <w:ind w:firstLineChars="1700" w:firstLine="5440"/>
        <w:jc w:val="right"/>
        <w:rPr>
          <w:rFonts w:ascii="tim" w:hAnsi="tim"/>
        </w:rPr>
      </w:pPr>
      <w:r w:rsidRPr="0093699B">
        <w:rPr>
          <w:rFonts w:ascii="tim" w:hAnsi="tim" w:hint="eastAsia"/>
        </w:rPr>
        <w:t>202</w:t>
      </w:r>
      <w:r w:rsidRPr="0093699B">
        <w:rPr>
          <w:rFonts w:ascii="tim" w:hAnsi="tim"/>
        </w:rPr>
        <w:t>3</w:t>
      </w:r>
      <w:r w:rsidRPr="0093699B">
        <w:rPr>
          <w:rFonts w:ascii="tim" w:hAnsi="tim" w:hint="eastAsia"/>
        </w:rPr>
        <w:t>年</w:t>
      </w:r>
      <w:r w:rsidRPr="0093699B">
        <w:rPr>
          <w:rFonts w:ascii="tim" w:hAnsi="tim" w:hint="eastAsia"/>
        </w:rPr>
        <w:t>7</w:t>
      </w:r>
      <w:r w:rsidRPr="0093699B">
        <w:rPr>
          <w:rFonts w:ascii="tim" w:hAnsi="tim" w:hint="eastAsia"/>
        </w:rPr>
        <w:t>月</w:t>
      </w:r>
      <w:r w:rsidRPr="0093699B">
        <w:rPr>
          <w:rFonts w:ascii="tim" w:hAnsi="tim"/>
        </w:rPr>
        <w:t>10</w:t>
      </w:r>
      <w:r w:rsidRPr="0093699B">
        <w:rPr>
          <w:rFonts w:ascii="tim" w:hAnsi="tim" w:hint="eastAsia"/>
        </w:rPr>
        <w:t>日</w:t>
      </w:r>
    </w:p>
    <w:p w:rsidR="00234C76" w:rsidRPr="00234C76" w:rsidRDefault="00234C76" w:rsidP="00234C76">
      <w:pPr>
        <w:pStyle w:val="a0"/>
        <w:rPr>
          <w:rFonts w:hint="eastAsia"/>
        </w:rPr>
      </w:pPr>
    </w:p>
    <w:p w:rsidR="00915E9C" w:rsidRDefault="00915E9C" w:rsidP="00915E9C">
      <w:pPr>
        <w:snapToGrid w:val="0"/>
        <w:spacing w:line="578" w:lineRule="exact"/>
        <w:ind w:firstLineChars="200" w:firstLine="640"/>
        <w:rPr>
          <w:rFonts w:ascii="tim" w:hAnsi="tim"/>
        </w:rPr>
      </w:pPr>
      <w:r w:rsidRPr="0093699B">
        <w:rPr>
          <w:rFonts w:ascii="tim" w:hAnsi="tim"/>
        </w:rPr>
        <w:t>（此件</w:t>
      </w:r>
      <w:r>
        <w:rPr>
          <w:rFonts w:ascii="tim" w:hAnsi="tim" w:hint="eastAsia"/>
        </w:rPr>
        <w:t>主动公开</w:t>
      </w:r>
      <w:r w:rsidRPr="0093699B">
        <w:rPr>
          <w:rFonts w:ascii="tim" w:hAnsi="tim"/>
        </w:rPr>
        <w:t>）</w:t>
      </w:r>
    </w:p>
    <w:p w:rsidR="003A6FC0" w:rsidRDefault="003A6FC0" w:rsidP="003A6FC0">
      <w:pPr>
        <w:pStyle w:val="a0"/>
      </w:pPr>
    </w:p>
    <w:p w:rsidR="003A6FC0" w:rsidRDefault="003A6FC0" w:rsidP="003A6FC0">
      <w:pPr>
        <w:pStyle w:val="a4"/>
        <w:ind w:firstLine="320"/>
      </w:pPr>
    </w:p>
    <w:p w:rsidR="00234C76" w:rsidRDefault="00234C76" w:rsidP="003A6FC0">
      <w:pPr>
        <w:pStyle w:val="a4"/>
        <w:ind w:firstLine="320"/>
      </w:pPr>
    </w:p>
    <w:p w:rsidR="00234C76" w:rsidRPr="003A6FC0" w:rsidRDefault="00234C76" w:rsidP="003A6FC0">
      <w:pPr>
        <w:pStyle w:val="a4"/>
        <w:ind w:firstLine="320"/>
        <w:rPr>
          <w:rFonts w:hint="eastAsia"/>
        </w:rPr>
      </w:pPr>
    </w:p>
    <w:p w:rsidR="009B43CF" w:rsidRDefault="009B43CF" w:rsidP="00915E9C">
      <w:pPr>
        <w:spacing w:line="578" w:lineRule="exact"/>
        <w:jc w:val="center"/>
        <w:rPr>
          <w:rFonts w:ascii="tim" w:eastAsia="方正小标宋_GBK" w:hAnsi="tim"/>
          <w:sz w:val="44"/>
          <w:szCs w:val="44"/>
        </w:rPr>
      </w:pPr>
    </w:p>
    <w:p w:rsidR="00915E9C" w:rsidRPr="0093699B" w:rsidRDefault="00915E9C" w:rsidP="00915E9C">
      <w:pPr>
        <w:spacing w:line="578" w:lineRule="exact"/>
        <w:jc w:val="center"/>
        <w:rPr>
          <w:rFonts w:ascii="tim" w:eastAsia="方正小标宋_GBK" w:hAnsi="tim"/>
          <w:sz w:val="44"/>
          <w:szCs w:val="44"/>
        </w:rPr>
      </w:pPr>
      <w:bookmarkStart w:id="0" w:name="_GoBack"/>
      <w:bookmarkEnd w:id="0"/>
      <w:r w:rsidRPr="0093699B">
        <w:rPr>
          <w:rFonts w:ascii="tim" w:eastAsia="方正小标宋_GBK" w:hAnsi="tim"/>
          <w:sz w:val="44"/>
          <w:szCs w:val="44"/>
        </w:rPr>
        <w:t>重庆市深化市内流域</w:t>
      </w:r>
    </w:p>
    <w:p w:rsidR="00915E9C" w:rsidRPr="0093699B" w:rsidRDefault="00915E9C" w:rsidP="00915E9C">
      <w:pPr>
        <w:spacing w:line="578" w:lineRule="exact"/>
        <w:jc w:val="center"/>
        <w:rPr>
          <w:rFonts w:ascii="tim" w:eastAsia="方正小标宋_GBK" w:hAnsi="tim"/>
          <w:sz w:val="44"/>
          <w:szCs w:val="44"/>
        </w:rPr>
      </w:pPr>
      <w:r w:rsidRPr="0093699B">
        <w:rPr>
          <w:rFonts w:ascii="tim" w:eastAsia="方正小标宋_GBK" w:hAnsi="tim"/>
          <w:sz w:val="44"/>
          <w:szCs w:val="44"/>
        </w:rPr>
        <w:t>横向生态保护补偿机制实施方案</w:t>
      </w:r>
    </w:p>
    <w:p w:rsidR="00915E9C" w:rsidRPr="0093699B" w:rsidRDefault="00915E9C" w:rsidP="00915E9C">
      <w:pPr>
        <w:spacing w:line="578" w:lineRule="exact"/>
        <w:rPr>
          <w:rFonts w:ascii="tim" w:eastAsia="方正楷体_GBK" w:hAnsi="tim" w:hint="eastAsia"/>
        </w:rPr>
      </w:pPr>
    </w:p>
    <w:p w:rsidR="00915E9C" w:rsidRPr="0093699B" w:rsidRDefault="00915E9C" w:rsidP="00915E9C">
      <w:pPr>
        <w:spacing w:line="578" w:lineRule="exact"/>
        <w:ind w:firstLine="648"/>
        <w:rPr>
          <w:rFonts w:ascii="tim" w:hAnsi="tim"/>
        </w:rPr>
      </w:pPr>
      <w:r w:rsidRPr="0093699B">
        <w:rPr>
          <w:rFonts w:ascii="tim" w:hAnsi="tim"/>
        </w:rPr>
        <w:t>开展流域横向生态保护补偿，是调动流域上下游地区积极性，共同推进生态环境保护和治理的重要举措，是健全生态补偿机制的重要内容。</w:t>
      </w:r>
      <w:r w:rsidRPr="0093699B">
        <w:rPr>
          <w:rFonts w:ascii="tim" w:hAnsi="tim"/>
        </w:rPr>
        <w:t>2018</w:t>
      </w:r>
      <w:r w:rsidRPr="0093699B">
        <w:rPr>
          <w:rFonts w:ascii="tim" w:hAnsi="tim" w:hint="eastAsia"/>
        </w:rPr>
        <w:t>—</w:t>
      </w:r>
      <w:r w:rsidRPr="0093699B">
        <w:rPr>
          <w:rFonts w:ascii="tim" w:hAnsi="tim"/>
        </w:rPr>
        <w:t>2021</w:t>
      </w:r>
      <w:r w:rsidRPr="0093699B">
        <w:rPr>
          <w:rFonts w:ascii="tim" w:hAnsi="tim"/>
        </w:rPr>
        <w:t>年，我市聚焦市内流域面积</w:t>
      </w:r>
      <w:r w:rsidRPr="0093699B">
        <w:rPr>
          <w:rFonts w:ascii="tim" w:hAnsi="tim"/>
        </w:rPr>
        <w:t>500</w:t>
      </w:r>
      <w:r w:rsidRPr="0093699B">
        <w:rPr>
          <w:rFonts w:ascii="tim" w:hAnsi="tim"/>
        </w:rPr>
        <w:t>平方公里以上的</w:t>
      </w:r>
      <w:r w:rsidRPr="0093699B">
        <w:rPr>
          <w:rFonts w:ascii="tim" w:hAnsi="tim"/>
        </w:rPr>
        <w:t>19</w:t>
      </w:r>
      <w:r w:rsidRPr="0093699B">
        <w:rPr>
          <w:rFonts w:ascii="tim" w:hAnsi="tim"/>
        </w:rPr>
        <w:t>条跨区县重要河流，开展横向生态保护补偿机制建设试点，取得了阶段性成效，</w:t>
      </w:r>
      <w:r w:rsidRPr="0093699B">
        <w:rPr>
          <w:rFonts w:ascii="tim" w:hAnsi="tim" w:hint="eastAsia"/>
        </w:rPr>
        <w:t>为打好打赢“碧水保卫战”提供了坚强的制度保障。为</w:t>
      </w:r>
      <w:r w:rsidRPr="0093699B">
        <w:rPr>
          <w:rFonts w:ascii="tim" w:hAnsi="tim"/>
        </w:rPr>
        <w:t>深入贯彻落实《中共中央、国务院关于深入打好污染防治攻坚战的意见》（中发〔</w:t>
      </w:r>
      <w:r w:rsidRPr="0093699B">
        <w:rPr>
          <w:rFonts w:ascii="tim" w:hAnsi="tim"/>
        </w:rPr>
        <w:t>2021</w:t>
      </w:r>
      <w:r w:rsidRPr="0093699B">
        <w:rPr>
          <w:rFonts w:ascii="tim" w:hAnsi="tim"/>
        </w:rPr>
        <w:t>〕</w:t>
      </w:r>
      <w:r w:rsidRPr="0093699B">
        <w:rPr>
          <w:rFonts w:ascii="tim" w:hAnsi="tim"/>
        </w:rPr>
        <w:t>40</w:t>
      </w:r>
      <w:r w:rsidRPr="0093699B">
        <w:rPr>
          <w:rFonts w:ascii="tim" w:hAnsi="tim"/>
        </w:rPr>
        <w:t>号）和《</w:t>
      </w:r>
      <w:r w:rsidRPr="0093699B">
        <w:rPr>
          <w:rFonts w:ascii="tim" w:hAnsi="tim" w:hint="eastAsia"/>
        </w:rPr>
        <w:t>中共</w:t>
      </w:r>
      <w:r w:rsidRPr="0093699B">
        <w:rPr>
          <w:rFonts w:ascii="tim" w:hAnsi="tim"/>
        </w:rPr>
        <w:t>中央办公厅、国务院办公厅关于深化生态保护补偿制度改革的意见》（中办发〔</w:t>
      </w:r>
      <w:r w:rsidRPr="0093699B">
        <w:rPr>
          <w:rFonts w:ascii="tim" w:hAnsi="tim"/>
        </w:rPr>
        <w:t>2021</w:t>
      </w:r>
      <w:r w:rsidRPr="0093699B">
        <w:rPr>
          <w:rFonts w:ascii="tim" w:hAnsi="tim"/>
        </w:rPr>
        <w:t>〕</w:t>
      </w:r>
      <w:r w:rsidRPr="0093699B">
        <w:rPr>
          <w:rFonts w:ascii="tim" w:hAnsi="tim"/>
        </w:rPr>
        <w:t>50</w:t>
      </w:r>
      <w:r w:rsidRPr="0093699B">
        <w:rPr>
          <w:rFonts w:ascii="tim" w:hAnsi="tim"/>
        </w:rPr>
        <w:t>号）等要求，进一步深化流域横向生态保护补偿机制在全市水环境保护工作中的重要支撑作用，推动形成长效工作格局，在总结试点成果基础上，制定如下工作方案。</w:t>
      </w:r>
    </w:p>
    <w:p w:rsidR="00915E9C" w:rsidRPr="0093699B" w:rsidRDefault="00915E9C" w:rsidP="00915E9C">
      <w:pPr>
        <w:spacing w:line="578" w:lineRule="exact"/>
        <w:ind w:firstLine="648"/>
        <w:rPr>
          <w:rFonts w:ascii="tim" w:eastAsia="方正黑体_GBK" w:hAnsi="tim"/>
        </w:rPr>
      </w:pPr>
      <w:r w:rsidRPr="0093699B">
        <w:rPr>
          <w:rFonts w:ascii="tim" w:eastAsia="方正黑体_GBK" w:hAnsi="tim"/>
        </w:rPr>
        <w:t>一、指导思想</w:t>
      </w:r>
    </w:p>
    <w:p w:rsidR="00915E9C" w:rsidRPr="0093699B" w:rsidRDefault="00915E9C" w:rsidP="00915E9C">
      <w:pPr>
        <w:spacing w:line="578" w:lineRule="exact"/>
        <w:ind w:firstLine="648"/>
        <w:rPr>
          <w:rFonts w:ascii="tim" w:hAnsi="tim" w:hint="eastAsia"/>
        </w:rPr>
      </w:pPr>
      <w:r w:rsidRPr="0093699B">
        <w:rPr>
          <w:rFonts w:ascii="tim" w:hAnsi="tim"/>
        </w:rPr>
        <w:t>坚持以习近平新时代中国特色社会主义思想为指导，全面贯彻党的二十大和二十届二中全会精神，深入落实习近平总书记对重庆所作重要讲话和系列重要指示批示精神，按照</w:t>
      </w:r>
      <w:r w:rsidRPr="0093699B">
        <w:rPr>
          <w:rFonts w:ascii="tim" w:hAnsi="tim"/>
          <w:color w:val="000000"/>
          <w:sz w:val="31"/>
          <w:szCs w:val="31"/>
          <w:shd w:val="clear" w:color="auto" w:fill="FFFFFF"/>
        </w:rPr>
        <w:t>市第六次党代</w:t>
      </w:r>
      <w:r w:rsidRPr="0093699B">
        <w:rPr>
          <w:rFonts w:ascii="tim" w:hAnsi="tim"/>
          <w:color w:val="000000"/>
          <w:sz w:val="31"/>
          <w:szCs w:val="31"/>
          <w:shd w:val="clear" w:color="auto" w:fill="FFFFFF"/>
        </w:rPr>
        <w:lastRenderedPageBreak/>
        <w:t>会、</w:t>
      </w:r>
      <w:r w:rsidRPr="0093699B">
        <w:rPr>
          <w:rFonts w:ascii="tim" w:hAnsi="tim"/>
        </w:rPr>
        <w:t>市委六届二次全会部署，牢固树立</w:t>
      </w:r>
      <w:r w:rsidRPr="0093699B">
        <w:rPr>
          <w:rFonts w:ascii="tim" w:hAnsi="tim"/>
        </w:rPr>
        <w:t>“</w:t>
      </w:r>
      <w:r w:rsidRPr="0093699B">
        <w:rPr>
          <w:rFonts w:ascii="tim" w:hAnsi="tim"/>
        </w:rPr>
        <w:t>绿水青山就是金山银山</w:t>
      </w:r>
      <w:r w:rsidRPr="0093699B">
        <w:rPr>
          <w:rFonts w:ascii="tim" w:hAnsi="tim"/>
        </w:rPr>
        <w:t>”</w:t>
      </w:r>
      <w:r w:rsidRPr="0093699B">
        <w:rPr>
          <w:rFonts w:ascii="tim" w:hAnsi="tim"/>
        </w:rPr>
        <w:t>的理念，坚决把修复长江生态环境摆在压倒性位置，以改善流域生态环境质量为核心，以畅通生态价值实现途径为抓手，不断巩固现有流域横向生态保护补偿机制建设成果，进一步调动上下游</w:t>
      </w:r>
      <w:r w:rsidRPr="0093699B">
        <w:rPr>
          <w:rFonts w:ascii="tim" w:hAnsi="tim" w:hint="eastAsia"/>
        </w:rPr>
        <w:t>地区共抓大保护的积极性与协同性，加快形成“成本共担、效益共享、合作共治”的流域保护治理长效机制，筑牢长江上游重要生态屏障，推动实现流域环境高水平保护和经济社会高质量发展。</w:t>
      </w:r>
    </w:p>
    <w:p w:rsidR="00915E9C" w:rsidRPr="0093699B" w:rsidRDefault="00915E9C" w:rsidP="00915E9C">
      <w:pPr>
        <w:spacing w:line="578" w:lineRule="exact"/>
        <w:ind w:firstLine="648"/>
        <w:rPr>
          <w:rFonts w:ascii="tim" w:eastAsia="方正黑体_GBK" w:hAnsi="tim"/>
        </w:rPr>
      </w:pPr>
      <w:r w:rsidRPr="0093699B">
        <w:rPr>
          <w:rFonts w:ascii="tim" w:eastAsia="方正黑体_GBK" w:hAnsi="tim"/>
        </w:rPr>
        <w:t>二、目标任务</w:t>
      </w:r>
    </w:p>
    <w:p w:rsidR="00915E9C" w:rsidRPr="0093699B" w:rsidRDefault="00915E9C" w:rsidP="00915E9C">
      <w:pPr>
        <w:spacing w:line="578" w:lineRule="exact"/>
        <w:ind w:firstLine="648"/>
        <w:rPr>
          <w:rFonts w:ascii="tim" w:hAnsi="tim"/>
        </w:rPr>
      </w:pPr>
      <w:r w:rsidRPr="0093699B">
        <w:rPr>
          <w:rFonts w:ascii="tim" w:eastAsia="方正楷体_GBK" w:hAnsi="tim"/>
          <w:bCs/>
        </w:rPr>
        <w:t>（一）在市内长效建立流域横向生态保护补偿机制。</w:t>
      </w:r>
      <w:r w:rsidRPr="0093699B">
        <w:rPr>
          <w:rFonts w:ascii="tim" w:hAnsi="tim" w:hint="eastAsia"/>
        </w:rPr>
        <w:t>202</w:t>
      </w:r>
      <w:r w:rsidRPr="0093699B">
        <w:rPr>
          <w:rFonts w:ascii="tim" w:hAnsi="tim"/>
        </w:rPr>
        <w:t>3</w:t>
      </w:r>
      <w:r w:rsidRPr="0093699B">
        <w:rPr>
          <w:rFonts w:ascii="tim" w:hAnsi="tim" w:hint="eastAsia"/>
        </w:rPr>
        <w:t>年，相关区县签署补偿协议，在市内流域面积</w:t>
      </w:r>
      <w:r w:rsidRPr="0093699B">
        <w:rPr>
          <w:rFonts w:ascii="tim" w:hAnsi="tim" w:hint="eastAsia"/>
        </w:rPr>
        <w:t>500</w:t>
      </w:r>
      <w:r w:rsidRPr="0093699B">
        <w:rPr>
          <w:rFonts w:ascii="tim" w:hAnsi="tim" w:hint="eastAsia"/>
        </w:rPr>
        <w:t>平方公里以上且跨区县的</w:t>
      </w:r>
      <w:r w:rsidRPr="0093699B">
        <w:rPr>
          <w:rFonts w:ascii="tim" w:hAnsi="tim" w:hint="eastAsia"/>
        </w:rPr>
        <w:t>19</w:t>
      </w:r>
      <w:r w:rsidRPr="0093699B">
        <w:rPr>
          <w:rFonts w:ascii="tim" w:hAnsi="tim" w:hint="eastAsia"/>
        </w:rPr>
        <w:t>条重要次级河流（河流及区县附后），建立新一轮流域横向生态保护补偿机制，推动补偿工作由试点阶段转入稳定施行，上下游区县政府间建立起以横向转移支付为主要方式的长效补偿制度。</w:t>
      </w:r>
    </w:p>
    <w:p w:rsidR="00915E9C" w:rsidRPr="0093699B" w:rsidRDefault="00915E9C" w:rsidP="00915E9C">
      <w:pPr>
        <w:spacing w:line="578" w:lineRule="exact"/>
        <w:ind w:firstLine="648"/>
        <w:rPr>
          <w:rFonts w:ascii="tim" w:hAnsi="tim"/>
        </w:rPr>
      </w:pPr>
      <w:r w:rsidRPr="0093699B">
        <w:rPr>
          <w:rFonts w:ascii="tim" w:eastAsia="方正楷体_GBK" w:hAnsi="tim"/>
          <w:bCs/>
        </w:rPr>
        <w:t>（二）拓展流域横向生态保护补偿机制的内涵和外延。</w:t>
      </w:r>
      <w:r w:rsidRPr="0093699B">
        <w:rPr>
          <w:rFonts w:ascii="tim" w:hAnsi="tim" w:hint="eastAsia"/>
        </w:rPr>
        <w:t>积极探索更为多元的补偿路径，包括但</w:t>
      </w:r>
      <w:r w:rsidRPr="0093699B">
        <w:rPr>
          <w:rFonts w:ascii="tim" w:hAnsi="tim"/>
        </w:rPr>
        <w:t>不限于</w:t>
      </w:r>
      <w:r w:rsidRPr="0093699B">
        <w:rPr>
          <w:rFonts w:ascii="tim" w:hAnsi="tim" w:hint="eastAsia"/>
        </w:rPr>
        <w:t>在具备条件的河流采取非资金方式实施补偿，在水资源紧缺地区引入水量作为补偿要素，在位于成渝地区双城经济圈省界的毗邻区县之间开展跨省流域补偿等，不断强化机制平台功能，提升上下游联防共治水平。到</w:t>
      </w:r>
      <w:r w:rsidRPr="0093699B">
        <w:rPr>
          <w:rFonts w:ascii="tim" w:hAnsi="tim"/>
        </w:rPr>
        <w:t>2025</w:t>
      </w:r>
      <w:r w:rsidRPr="0093699B">
        <w:rPr>
          <w:rFonts w:ascii="tim" w:hAnsi="tim" w:hint="eastAsia"/>
        </w:rPr>
        <w:t>年，区县间流域横向补偿的内容更加丰富、机制更加完善、</w:t>
      </w:r>
      <w:r w:rsidRPr="0093699B">
        <w:rPr>
          <w:rFonts w:ascii="tim" w:hAnsi="tim" w:hint="eastAsia"/>
        </w:rPr>
        <w:lastRenderedPageBreak/>
        <w:t>评价更加科学，对流域保护治理的支撑保障作用明显增强。</w:t>
      </w:r>
    </w:p>
    <w:p w:rsidR="00915E9C" w:rsidRPr="0093699B" w:rsidRDefault="00915E9C" w:rsidP="00915E9C">
      <w:pPr>
        <w:spacing w:line="578" w:lineRule="exact"/>
        <w:ind w:firstLine="648"/>
        <w:rPr>
          <w:rFonts w:ascii="tim" w:eastAsia="方正黑体_GBK" w:hAnsi="tim"/>
        </w:rPr>
      </w:pPr>
      <w:r w:rsidRPr="0093699B">
        <w:rPr>
          <w:rFonts w:ascii="tim" w:eastAsia="方正黑体_GBK" w:hAnsi="tim"/>
        </w:rPr>
        <w:t>三、基本原则</w:t>
      </w:r>
    </w:p>
    <w:p w:rsidR="00915E9C" w:rsidRPr="0093699B" w:rsidRDefault="00915E9C" w:rsidP="00915E9C">
      <w:pPr>
        <w:spacing w:line="578" w:lineRule="exact"/>
        <w:ind w:firstLine="660"/>
        <w:rPr>
          <w:rFonts w:ascii="tim" w:hAnsi="tim"/>
        </w:rPr>
      </w:pPr>
      <w:r w:rsidRPr="0093699B">
        <w:rPr>
          <w:rFonts w:ascii="tim" w:eastAsia="方正楷体_GBK" w:hAnsi="tim"/>
          <w:bCs/>
        </w:rPr>
        <w:t>（一）生态优先、共建共享。</w:t>
      </w:r>
      <w:r w:rsidRPr="0093699B">
        <w:rPr>
          <w:rFonts w:ascii="tim" w:hAnsi="tim"/>
        </w:rPr>
        <w:t>坚持在发展中保护、在保护中发展，将生态优先、绿色发展的理念融入流域保护治理全过程，促进形成绿色生产生活方式。准确把握区域保护与协同保护的关系，坚持上下游联动、左右岸互动，形成错位发展、协同保护、有机融合的良好局面。</w:t>
      </w:r>
    </w:p>
    <w:p w:rsidR="00915E9C" w:rsidRPr="0093699B" w:rsidRDefault="00915E9C" w:rsidP="00915E9C">
      <w:pPr>
        <w:spacing w:line="578" w:lineRule="exact"/>
        <w:ind w:firstLine="660"/>
        <w:rPr>
          <w:rFonts w:ascii="tim" w:hAnsi="tim"/>
        </w:rPr>
      </w:pPr>
      <w:r w:rsidRPr="0093699B">
        <w:rPr>
          <w:rFonts w:ascii="tim" w:eastAsia="方正楷体_GBK" w:hAnsi="tim"/>
          <w:bCs/>
        </w:rPr>
        <w:t>（二）区县为主、市级引导。</w:t>
      </w:r>
      <w:r w:rsidRPr="0093699B">
        <w:rPr>
          <w:rFonts w:ascii="tim" w:hAnsi="tim"/>
        </w:rPr>
        <w:t>区县是开展市内流域横向生态保护补偿的主体，补偿机制由流域上下游区县政府在本方案框架下以协议签署形式予以建立。市级加强对区县补偿机制运行过程的监管和指导，完善激励约束机制，不断强化对良好生态产品供给地区的利益补偿。</w:t>
      </w:r>
    </w:p>
    <w:p w:rsidR="00915E9C" w:rsidRPr="0093699B" w:rsidRDefault="00915E9C" w:rsidP="00915E9C">
      <w:pPr>
        <w:spacing w:line="578" w:lineRule="exact"/>
        <w:ind w:firstLine="660"/>
        <w:rPr>
          <w:rFonts w:ascii="tim" w:hAnsi="tim"/>
        </w:rPr>
      </w:pPr>
      <w:r w:rsidRPr="0093699B">
        <w:rPr>
          <w:rFonts w:ascii="tim" w:eastAsia="方正楷体_GBK" w:hAnsi="tim"/>
          <w:bCs/>
        </w:rPr>
        <w:t>（三）权责统一、合理补偿。</w:t>
      </w:r>
      <w:r w:rsidRPr="0093699B">
        <w:rPr>
          <w:rFonts w:ascii="tim" w:hAnsi="tim"/>
        </w:rPr>
        <w:t>流域上游区县承担保护生态环境的责任，同时享有出境断面水质改善带来利益的权利；流域下游区县对上游区县为改善生态环境付出的努力作出补偿，同时享有入境水质恶化的受偿权利。严格实行补偿强度与考核指标紧密挂钩，强化目标约束，突出结果导向。</w:t>
      </w:r>
    </w:p>
    <w:p w:rsidR="00915E9C" w:rsidRPr="0093699B" w:rsidRDefault="00915E9C" w:rsidP="00915E9C">
      <w:pPr>
        <w:spacing w:line="578" w:lineRule="exact"/>
        <w:ind w:firstLine="660"/>
        <w:rPr>
          <w:rFonts w:ascii="tim" w:eastAsia="方正黑体_GBK" w:hAnsi="tim"/>
        </w:rPr>
      </w:pPr>
      <w:r w:rsidRPr="0093699B">
        <w:rPr>
          <w:rFonts w:ascii="tim" w:eastAsia="方正黑体_GBK" w:hAnsi="tim"/>
        </w:rPr>
        <w:t>四、实施内容</w:t>
      </w:r>
    </w:p>
    <w:p w:rsidR="00915E9C" w:rsidRPr="0093699B" w:rsidRDefault="00915E9C" w:rsidP="00915E9C">
      <w:pPr>
        <w:spacing w:line="578" w:lineRule="exact"/>
        <w:ind w:firstLine="660"/>
        <w:rPr>
          <w:rFonts w:ascii="tim" w:hAnsi="tim"/>
        </w:rPr>
      </w:pPr>
      <w:r w:rsidRPr="0093699B">
        <w:rPr>
          <w:rFonts w:ascii="tim" w:eastAsia="方正楷体_GBK" w:hAnsi="tim"/>
          <w:bCs/>
        </w:rPr>
        <w:t>（一）补偿模式。</w:t>
      </w:r>
      <w:r w:rsidRPr="0093699B">
        <w:rPr>
          <w:rFonts w:ascii="tim" w:hAnsi="tim"/>
        </w:rPr>
        <w:t>遵循</w:t>
      </w:r>
      <w:r w:rsidRPr="0093699B">
        <w:rPr>
          <w:rFonts w:ascii="tim" w:hAnsi="tim"/>
        </w:rPr>
        <w:t>“</w:t>
      </w:r>
      <w:r w:rsidRPr="0093699B">
        <w:rPr>
          <w:rFonts w:ascii="tim" w:hAnsi="tim"/>
        </w:rPr>
        <w:t>谁保护谁受益，谁污染谁补偿</w:t>
      </w:r>
      <w:r w:rsidRPr="0093699B">
        <w:rPr>
          <w:rFonts w:ascii="tim" w:hAnsi="tim"/>
        </w:rPr>
        <w:t>”</w:t>
      </w:r>
      <w:r w:rsidRPr="0093699B">
        <w:rPr>
          <w:rFonts w:ascii="tim" w:hAnsi="tim"/>
        </w:rPr>
        <w:t>原则，以流域补偿断面的水质监测结果为依据，并设定补偿基准，若月</w:t>
      </w:r>
      <w:r w:rsidRPr="0093699B">
        <w:rPr>
          <w:rFonts w:ascii="tim" w:hAnsi="tim"/>
        </w:rPr>
        <w:lastRenderedPageBreak/>
        <w:t>度水质监测结果优于补偿基准且为优良（</w:t>
      </w:r>
      <w:r w:rsidRPr="0093699B">
        <w:rPr>
          <w:rFonts w:ascii="宋体" w:eastAsia="宋体" w:hAnsi="宋体" w:cs="宋体" w:hint="eastAsia"/>
        </w:rPr>
        <w:t>Ⅲ</w:t>
      </w:r>
      <w:r w:rsidRPr="0093699B">
        <w:rPr>
          <w:rFonts w:ascii="tim" w:hAnsi="tim"/>
        </w:rPr>
        <w:t>类及以上水质），则下游区县补偿上游区县；若月度水质监测结果劣于补偿基准，则上游区县补偿下游区县；若月度水质监测结果等于补偿基准，则上下游区县互不补偿。水质监测结果和补偿基准均按水质类别的形式体现。</w:t>
      </w:r>
    </w:p>
    <w:p w:rsidR="00915E9C" w:rsidRPr="0093699B" w:rsidRDefault="00915E9C" w:rsidP="00915E9C">
      <w:pPr>
        <w:spacing w:line="578" w:lineRule="exact"/>
        <w:ind w:firstLine="660"/>
        <w:rPr>
          <w:rFonts w:ascii="tim" w:hAnsi="tim"/>
        </w:rPr>
      </w:pPr>
      <w:r w:rsidRPr="0093699B">
        <w:rPr>
          <w:rFonts w:ascii="tim" w:eastAsia="方正楷体_GBK" w:hAnsi="tim"/>
          <w:bCs/>
        </w:rPr>
        <w:t>（二）补偿基准。</w:t>
      </w:r>
      <w:r w:rsidRPr="0093699B">
        <w:rPr>
          <w:rFonts w:ascii="tim" w:hAnsi="tim" w:hint="eastAsia"/>
        </w:rPr>
        <w:t>根据补偿断面的属性，分类确定补偿基准，若补偿断面为考核断面</w:t>
      </w:r>
      <w:r w:rsidRPr="0093699B">
        <w:rPr>
          <w:rFonts w:ascii="tim" w:hAnsi="tim"/>
        </w:rPr>
        <w:t>（</w:t>
      </w:r>
      <w:r w:rsidRPr="0093699B">
        <w:rPr>
          <w:rFonts w:ascii="tim" w:hAnsi="tim" w:hint="eastAsia"/>
        </w:rPr>
        <w:t>包括国控考核断面和市控考核断面，</w:t>
      </w:r>
      <w:r w:rsidRPr="0093699B">
        <w:rPr>
          <w:rFonts w:ascii="tim" w:hAnsi="tim"/>
        </w:rPr>
        <w:t>下同</w:t>
      </w:r>
      <w:r w:rsidRPr="0093699B">
        <w:rPr>
          <w:rFonts w:ascii="tim" w:hAnsi="tim" w:hint="eastAsia"/>
        </w:rPr>
        <w:t>），则补偿基准采用考核断面当年度水质考核目标；若补偿断面为非考核断面，则补偿基准采用该断面所在河流上下游距离最近的考核断面的当年度水质考核目标。补偿断面具体由区县在补偿协议中明确，并需经市生态环境局认可。</w:t>
      </w:r>
    </w:p>
    <w:p w:rsidR="00915E9C" w:rsidRPr="0093699B" w:rsidRDefault="00915E9C" w:rsidP="00915E9C">
      <w:pPr>
        <w:spacing w:line="578" w:lineRule="exact"/>
        <w:ind w:firstLine="660"/>
        <w:rPr>
          <w:rFonts w:ascii="tim" w:hAnsi="tim"/>
        </w:rPr>
      </w:pPr>
      <w:r w:rsidRPr="0093699B">
        <w:rPr>
          <w:rFonts w:ascii="tim" w:eastAsia="方正楷体_GBK" w:hAnsi="tim" w:hint="eastAsia"/>
          <w:bCs/>
        </w:rPr>
        <w:t>（三）补偿标准。</w:t>
      </w:r>
      <w:r w:rsidRPr="0093699B">
        <w:rPr>
          <w:rFonts w:ascii="tim" w:hAnsi="tim" w:hint="eastAsia"/>
        </w:rPr>
        <w:t>兼顾流域生态环境价值体现、保护治理成本，以及当前区县政府财力可承受水平，暂定如下补偿标准，今后若需动态调整，由市财政局会同市生态环境局另行制定。</w:t>
      </w:r>
    </w:p>
    <w:p w:rsidR="00915E9C" w:rsidRPr="0093699B" w:rsidRDefault="00915E9C" w:rsidP="00915E9C">
      <w:pPr>
        <w:spacing w:line="578" w:lineRule="exact"/>
        <w:ind w:firstLine="660"/>
        <w:rPr>
          <w:rFonts w:ascii="tim" w:hAnsi="tim"/>
        </w:rPr>
      </w:pPr>
      <w:r w:rsidRPr="0093699B">
        <w:rPr>
          <w:rFonts w:ascii="tim" w:hAnsi="tim"/>
        </w:rPr>
        <w:t>1</w:t>
      </w:r>
      <w:r w:rsidRPr="0093699B">
        <w:rPr>
          <w:rFonts w:ascii="tim" w:hAnsi="tim" w:hint="eastAsia"/>
        </w:rPr>
        <w:t>.</w:t>
      </w:r>
      <w:r w:rsidRPr="0093699B">
        <w:rPr>
          <w:rFonts w:ascii="tim" w:hAnsi="tim" w:hint="eastAsia"/>
        </w:rPr>
        <w:t>若水质监测结果优于或劣于补偿基准</w:t>
      </w:r>
      <w:r w:rsidRPr="0093699B">
        <w:rPr>
          <w:rFonts w:ascii="tim" w:hAnsi="tim"/>
        </w:rPr>
        <w:t>1</w:t>
      </w:r>
      <w:r w:rsidRPr="0093699B">
        <w:rPr>
          <w:rFonts w:ascii="tim" w:hAnsi="tim" w:hint="eastAsia"/>
        </w:rPr>
        <w:t>个类别，补偿标准为</w:t>
      </w:r>
      <w:r w:rsidRPr="0093699B">
        <w:rPr>
          <w:rFonts w:ascii="tim" w:hAnsi="tim"/>
        </w:rPr>
        <w:t>100</w:t>
      </w:r>
      <w:r w:rsidRPr="0093699B">
        <w:rPr>
          <w:rFonts w:ascii="tim" w:hAnsi="tim" w:hint="eastAsia"/>
        </w:rPr>
        <w:t>万元</w:t>
      </w:r>
      <w:r w:rsidRPr="0093699B">
        <w:rPr>
          <w:rFonts w:ascii="tim" w:hAnsi="tim"/>
        </w:rPr>
        <w:t>/</w:t>
      </w:r>
      <w:r w:rsidRPr="0093699B">
        <w:rPr>
          <w:rFonts w:ascii="tim" w:hAnsi="tim" w:hint="eastAsia"/>
        </w:rPr>
        <w:t>月；</w:t>
      </w:r>
    </w:p>
    <w:p w:rsidR="00915E9C" w:rsidRPr="0093699B" w:rsidRDefault="00915E9C" w:rsidP="00915E9C">
      <w:pPr>
        <w:spacing w:line="578" w:lineRule="exact"/>
        <w:ind w:firstLine="660"/>
        <w:rPr>
          <w:rFonts w:ascii="tim" w:hAnsi="tim"/>
        </w:rPr>
      </w:pPr>
      <w:r w:rsidRPr="0093699B">
        <w:rPr>
          <w:rFonts w:ascii="tim" w:hAnsi="tim"/>
        </w:rPr>
        <w:t>2</w:t>
      </w:r>
      <w:r w:rsidRPr="0093699B">
        <w:rPr>
          <w:rFonts w:ascii="tim" w:hAnsi="tim" w:hint="eastAsia"/>
        </w:rPr>
        <w:t>.</w:t>
      </w:r>
      <w:r w:rsidRPr="0093699B">
        <w:rPr>
          <w:rFonts w:ascii="tim" w:hAnsi="tim" w:hint="eastAsia"/>
        </w:rPr>
        <w:t>若水质监测结果优于或劣于补偿基准</w:t>
      </w:r>
      <w:r w:rsidRPr="0093699B">
        <w:rPr>
          <w:rFonts w:ascii="tim" w:hAnsi="tim"/>
        </w:rPr>
        <w:t>2</w:t>
      </w:r>
      <w:r w:rsidRPr="0093699B">
        <w:rPr>
          <w:rFonts w:ascii="tim" w:hAnsi="tim" w:hint="eastAsia"/>
        </w:rPr>
        <w:t>个类别及以上，补偿标准为</w:t>
      </w:r>
      <w:r w:rsidRPr="0093699B">
        <w:rPr>
          <w:rFonts w:ascii="tim" w:hAnsi="tim"/>
        </w:rPr>
        <w:t>200</w:t>
      </w:r>
      <w:r w:rsidRPr="0093699B">
        <w:rPr>
          <w:rFonts w:ascii="tim" w:hAnsi="tim" w:hint="eastAsia"/>
        </w:rPr>
        <w:t>万元</w:t>
      </w:r>
      <w:r w:rsidRPr="0093699B">
        <w:rPr>
          <w:rFonts w:ascii="tim" w:hAnsi="tim"/>
        </w:rPr>
        <w:t>/</w:t>
      </w:r>
      <w:r w:rsidRPr="0093699B">
        <w:rPr>
          <w:rFonts w:ascii="tim" w:hAnsi="tim" w:hint="eastAsia"/>
        </w:rPr>
        <w:t>月；</w:t>
      </w:r>
    </w:p>
    <w:p w:rsidR="00915E9C" w:rsidRPr="0093699B" w:rsidRDefault="00915E9C" w:rsidP="00915E9C">
      <w:pPr>
        <w:spacing w:line="578" w:lineRule="exact"/>
        <w:ind w:firstLine="660"/>
        <w:rPr>
          <w:rFonts w:ascii="tim" w:hAnsi="tim"/>
          <w:color w:val="000000"/>
        </w:rPr>
      </w:pPr>
      <w:r w:rsidRPr="0093699B">
        <w:rPr>
          <w:rFonts w:ascii="tim" w:hAnsi="tim" w:hint="eastAsia"/>
        </w:rPr>
        <w:t>区县可结合</w:t>
      </w:r>
      <w:r w:rsidRPr="0093699B">
        <w:rPr>
          <w:rFonts w:ascii="tim" w:hAnsi="tim" w:hint="eastAsia"/>
          <w:color w:val="000000"/>
        </w:rPr>
        <w:t>实际情况，在不低于上述标准的前提下，通过补偿协议具体约定补偿标准。因突发自然灾害等客观因素造成水质</w:t>
      </w:r>
      <w:r w:rsidRPr="0093699B">
        <w:rPr>
          <w:rFonts w:ascii="tim" w:hAnsi="tim" w:hint="eastAsia"/>
          <w:color w:val="000000"/>
        </w:rPr>
        <w:lastRenderedPageBreak/>
        <w:t>变差的，经市财政局、市生态环境局审核认定，可免除区县当期补偿责任。</w:t>
      </w:r>
    </w:p>
    <w:p w:rsidR="00915E9C" w:rsidRPr="0093699B" w:rsidRDefault="00915E9C" w:rsidP="00915E9C">
      <w:pPr>
        <w:spacing w:line="578" w:lineRule="exact"/>
        <w:ind w:firstLine="660"/>
        <w:rPr>
          <w:rFonts w:ascii="tim" w:hAnsi="tim"/>
        </w:rPr>
      </w:pPr>
      <w:r w:rsidRPr="0093699B">
        <w:rPr>
          <w:rFonts w:ascii="tim" w:eastAsia="方正楷体_GBK" w:hAnsi="tim"/>
          <w:bCs/>
        </w:rPr>
        <w:t>（四）补偿核算。</w:t>
      </w:r>
      <w:r w:rsidRPr="0093699B">
        <w:rPr>
          <w:rFonts w:ascii="tim" w:hAnsi="tim"/>
        </w:rPr>
        <w:t>补偿资金按照补偿断面的月度水质监测结果实行逐月核算，同一区县涉及多个河流的，按河流分别核算补偿资金。补偿断面为考核断面的，水质监测结果直接采用国家或市级通报结果；补偿断面为非考核断面的，采用市生态环境监测中心监测结果，或断面上下游区县共同组织监测并认可的结果。鼓励区县积极探索其他多元化的补偿方式，可协议采取对口协作、产业转移、人才培训、共建园区等方式替代资金补偿，但其利益传导的强度不得低于按资金方式实施补偿的强度。</w:t>
      </w:r>
    </w:p>
    <w:p w:rsidR="00915E9C" w:rsidRPr="0093699B" w:rsidRDefault="00915E9C" w:rsidP="00915E9C">
      <w:pPr>
        <w:spacing w:line="578" w:lineRule="exact"/>
        <w:ind w:firstLine="660"/>
        <w:rPr>
          <w:rFonts w:ascii="tim" w:hAnsi="tim"/>
        </w:rPr>
      </w:pPr>
      <w:r w:rsidRPr="0093699B">
        <w:rPr>
          <w:rFonts w:ascii="tim" w:eastAsia="方正楷体_GBK" w:hAnsi="tim"/>
          <w:bCs/>
        </w:rPr>
        <w:t>（五）市级参与。</w:t>
      </w:r>
      <w:r w:rsidRPr="0093699B">
        <w:rPr>
          <w:rFonts w:ascii="tim" w:hAnsi="tim"/>
        </w:rPr>
        <w:t>加强市与区县工作联动和机制共建，充分调动区县工作积极性，市级财政作为有关河流的首尾端参与补偿机制运行。跨省流入我市河流的上游首端（不含发源于我市的河流），经我市汇入长江、嘉陵江、乌江等，以及流出我市河流的下游尾端（即相关河流于市域内的终点），由市级财政作为主体，并参照前述规则，对区县实施补偿或接受区县补偿，形成补偿链条闭环。</w:t>
      </w:r>
    </w:p>
    <w:p w:rsidR="00915E9C" w:rsidRPr="0093699B" w:rsidRDefault="00915E9C" w:rsidP="00915E9C">
      <w:pPr>
        <w:spacing w:line="578" w:lineRule="exact"/>
        <w:ind w:firstLine="660"/>
        <w:rPr>
          <w:rFonts w:ascii="tim" w:hAnsi="tim"/>
        </w:rPr>
      </w:pPr>
      <w:r w:rsidRPr="0093699B">
        <w:rPr>
          <w:rFonts w:ascii="tim" w:eastAsia="方正楷体_GBK" w:hAnsi="tim"/>
          <w:bCs/>
        </w:rPr>
        <w:t>（六）联防共治。</w:t>
      </w:r>
      <w:r w:rsidRPr="0093699B">
        <w:rPr>
          <w:rFonts w:ascii="tim" w:hAnsi="tim"/>
        </w:rPr>
        <w:t>发挥流域横向生态保护补偿机制的纽带作用，促进形成协同保护、联防联治的长效工作格局。流域上下游区县应建立联席会议制度，畅通信息渠道，完善河湖长制，共同</w:t>
      </w:r>
      <w:r w:rsidRPr="0093699B">
        <w:rPr>
          <w:rFonts w:ascii="tim" w:hAnsi="tim"/>
        </w:rPr>
        <w:lastRenderedPageBreak/>
        <w:t>加强流域生态环境的联合防治与联合执法，实施重大项目建设环评共商，开展环境污染应急联合响应，全面提升流域保护治理的协同化、一体化水平。</w:t>
      </w:r>
    </w:p>
    <w:p w:rsidR="00915E9C" w:rsidRPr="0093699B" w:rsidRDefault="00915E9C" w:rsidP="00915E9C">
      <w:pPr>
        <w:spacing w:line="578" w:lineRule="exact"/>
        <w:ind w:firstLine="660"/>
        <w:rPr>
          <w:rFonts w:ascii="tim" w:eastAsia="方正黑体_GBK" w:hAnsi="tim"/>
        </w:rPr>
      </w:pPr>
      <w:r w:rsidRPr="0093699B">
        <w:rPr>
          <w:rFonts w:ascii="tim" w:eastAsia="方正黑体_GBK" w:hAnsi="tim"/>
        </w:rPr>
        <w:t>五、资金管理</w:t>
      </w:r>
    </w:p>
    <w:p w:rsidR="00915E9C" w:rsidRPr="0093699B" w:rsidRDefault="00915E9C" w:rsidP="00915E9C">
      <w:pPr>
        <w:spacing w:line="578" w:lineRule="exact"/>
        <w:ind w:firstLine="660"/>
        <w:rPr>
          <w:rFonts w:ascii="tim" w:hAnsi="tim"/>
        </w:rPr>
      </w:pPr>
      <w:r w:rsidRPr="0093699B">
        <w:rPr>
          <w:rFonts w:ascii="tim" w:hAnsi="tim"/>
        </w:rPr>
        <w:t>流域横向生态保护补偿资金实行</w:t>
      </w:r>
      <w:r w:rsidRPr="0093699B">
        <w:rPr>
          <w:rFonts w:ascii="tim" w:hAnsi="tim"/>
        </w:rPr>
        <w:t>“</w:t>
      </w:r>
      <w:r w:rsidRPr="0093699B">
        <w:rPr>
          <w:rFonts w:ascii="tim" w:hAnsi="tim"/>
        </w:rPr>
        <w:t>按月核算、按年清缴</w:t>
      </w:r>
      <w:r w:rsidRPr="0093699B">
        <w:rPr>
          <w:rFonts w:ascii="tim" w:hAnsi="tim"/>
        </w:rPr>
        <w:t>”</w:t>
      </w:r>
      <w:r w:rsidRPr="0093699B">
        <w:rPr>
          <w:rFonts w:ascii="tim" w:hAnsi="tim"/>
        </w:rPr>
        <w:t>，每年度结束后，流域上下游区县共同对年度补偿资金开展认定和清算，并及时完成拨付。受偿区县应当将资金优先用于该流域的环境保护治理，其次可用于区域内其他生态环境保护工作，并加强资金使用和项目实施监管，确保资金使用效益。</w:t>
      </w:r>
    </w:p>
    <w:p w:rsidR="00915E9C" w:rsidRPr="0093699B" w:rsidRDefault="00915E9C" w:rsidP="00915E9C">
      <w:pPr>
        <w:spacing w:line="578" w:lineRule="exact"/>
        <w:ind w:firstLine="660"/>
        <w:rPr>
          <w:rFonts w:ascii="tim" w:eastAsia="方正黑体_GBK" w:hAnsi="tim"/>
        </w:rPr>
      </w:pPr>
      <w:r w:rsidRPr="0093699B">
        <w:rPr>
          <w:rFonts w:ascii="tim" w:eastAsia="方正黑体_GBK" w:hAnsi="tim"/>
        </w:rPr>
        <w:t>六、实施保障</w:t>
      </w:r>
    </w:p>
    <w:p w:rsidR="00915E9C" w:rsidRPr="0093699B" w:rsidRDefault="00915E9C" w:rsidP="00915E9C">
      <w:pPr>
        <w:spacing w:line="578" w:lineRule="exact"/>
        <w:ind w:firstLine="660"/>
        <w:rPr>
          <w:rFonts w:ascii="tim" w:hAnsi="tim"/>
        </w:rPr>
      </w:pPr>
      <w:r w:rsidRPr="0093699B">
        <w:rPr>
          <w:rFonts w:ascii="tim" w:eastAsia="方正楷体_GBK" w:hAnsi="tim"/>
          <w:bCs/>
        </w:rPr>
        <w:t>（一）签署补偿协议。</w:t>
      </w:r>
      <w:r w:rsidRPr="0093699B">
        <w:rPr>
          <w:rFonts w:ascii="tim" w:hAnsi="tim" w:hint="eastAsia"/>
        </w:rPr>
        <w:t>流域上下游区县严格按照本方案，及时启动补偿工作前期研究和磋商，经达成一致意见后，以流域整体为单位签署政府间具有法律约束力的补偿协议。补偿协议需明确补偿模式、补偿方式、补偿基准、补偿标准，以及联防共治等条款内容，有效期限至少为</w:t>
      </w:r>
      <w:r w:rsidRPr="0093699B">
        <w:rPr>
          <w:rFonts w:ascii="tim" w:hAnsi="tim"/>
        </w:rPr>
        <w:t>3</w:t>
      </w:r>
      <w:r w:rsidRPr="0093699B">
        <w:rPr>
          <w:rFonts w:ascii="tim" w:hAnsi="tim" w:hint="eastAsia"/>
        </w:rPr>
        <w:t>年，且到期后应及时续签。本方案印发后的首期补偿协议，相关流域区县应于</w:t>
      </w:r>
      <w:r w:rsidRPr="0093699B">
        <w:rPr>
          <w:rFonts w:ascii="tim" w:hAnsi="tim" w:hint="eastAsia"/>
        </w:rPr>
        <w:t>30</w:t>
      </w:r>
      <w:r w:rsidRPr="0093699B">
        <w:rPr>
          <w:rFonts w:ascii="tim" w:hAnsi="tim" w:hint="eastAsia"/>
        </w:rPr>
        <w:t>日</w:t>
      </w:r>
      <w:r w:rsidRPr="0093699B">
        <w:rPr>
          <w:rFonts w:ascii="tim" w:hAnsi="tim"/>
        </w:rPr>
        <w:t>内</w:t>
      </w:r>
      <w:r w:rsidRPr="0093699B">
        <w:rPr>
          <w:rFonts w:ascii="tim" w:hAnsi="tim" w:hint="eastAsia"/>
        </w:rPr>
        <w:t>报市财政局、市生态环境局备案，协议生效日期统一设定为</w:t>
      </w:r>
      <w:r w:rsidRPr="0093699B">
        <w:rPr>
          <w:rFonts w:ascii="tim" w:hAnsi="tim"/>
        </w:rPr>
        <w:t>2023</w:t>
      </w:r>
      <w:r w:rsidRPr="0093699B">
        <w:rPr>
          <w:rFonts w:ascii="tim" w:hAnsi="tim" w:hint="eastAsia"/>
        </w:rPr>
        <w:t>年</w:t>
      </w:r>
      <w:r w:rsidRPr="0093699B">
        <w:rPr>
          <w:rFonts w:ascii="tim" w:hAnsi="tim"/>
        </w:rPr>
        <w:t>1</w:t>
      </w:r>
      <w:r w:rsidRPr="0093699B">
        <w:rPr>
          <w:rFonts w:ascii="tim" w:hAnsi="tim" w:hint="eastAsia"/>
        </w:rPr>
        <w:t>月</w:t>
      </w:r>
      <w:r w:rsidRPr="0093699B">
        <w:rPr>
          <w:rFonts w:ascii="tim" w:hAnsi="tim"/>
        </w:rPr>
        <w:t>1</w:t>
      </w:r>
      <w:r w:rsidRPr="0093699B">
        <w:rPr>
          <w:rFonts w:ascii="tim" w:hAnsi="tim" w:hint="eastAsia"/>
        </w:rPr>
        <w:t>日。</w:t>
      </w:r>
    </w:p>
    <w:p w:rsidR="00915E9C" w:rsidRPr="0093699B" w:rsidRDefault="00915E9C" w:rsidP="00915E9C">
      <w:pPr>
        <w:spacing w:line="578" w:lineRule="exact"/>
        <w:ind w:firstLine="660"/>
        <w:rPr>
          <w:rFonts w:ascii="tim" w:eastAsia="方正楷体_GBK" w:hAnsi="tim"/>
          <w:b/>
        </w:rPr>
      </w:pPr>
      <w:r w:rsidRPr="0093699B">
        <w:rPr>
          <w:rFonts w:ascii="tim" w:eastAsia="方正楷体_GBK" w:hAnsi="tim"/>
          <w:bCs/>
        </w:rPr>
        <w:t>（二）激励约束并举。</w:t>
      </w:r>
      <w:r w:rsidRPr="0093699B">
        <w:rPr>
          <w:rFonts w:ascii="tim" w:hAnsi="tim"/>
        </w:rPr>
        <w:t>市级安排资金参与区县补偿，依托机制运行规则落实好对生态贡献突出区县的长效激励。对建立联席会议制度开展联防共治，协同实施流域水污染治理和水生态修复</w:t>
      </w:r>
      <w:r w:rsidRPr="0093699B">
        <w:rPr>
          <w:rFonts w:ascii="tim" w:hAnsi="tim"/>
        </w:rPr>
        <w:lastRenderedPageBreak/>
        <w:t>的区县，市级在有关生态环保资金分配中予以重点支持。对补偿机制成效显著，带动全流域生态环境质量整体性提升的区县，纳入市级生态环境</w:t>
      </w:r>
      <w:r w:rsidRPr="0093699B">
        <w:rPr>
          <w:rFonts w:ascii="tim" w:hAnsi="tim"/>
        </w:rPr>
        <w:t>“</w:t>
      </w:r>
      <w:r w:rsidRPr="0093699B">
        <w:rPr>
          <w:rFonts w:ascii="tim" w:hAnsi="tim"/>
        </w:rPr>
        <w:t>以奖促治</w:t>
      </w:r>
      <w:r w:rsidRPr="0093699B">
        <w:rPr>
          <w:rFonts w:ascii="tim" w:hAnsi="tim"/>
        </w:rPr>
        <w:t>”</w:t>
      </w:r>
      <w:r w:rsidRPr="0093699B">
        <w:rPr>
          <w:rFonts w:ascii="tim" w:hAnsi="tim"/>
        </w:rPr>
        <w:t>等资金的分配因素进行专项奖励。对未按照本方案要求签署补偿协议、建立补偿机制</w:t>
      </w:r>
      <w:r w:rsidRPr="0093699B">
        <w:rPr>
          <w:rFonts w:ascii="tim" w:hAnsi="tim" w:hint="eastAsia"/>
        </w:rPr>
        <w:t>的区县，</w:t>
      </w:r>
      <w:r w:rsidRPr="0093699B">
        <w:rPr>
          <w:rFonts w:ascii="tim" w:hAnsi="tim"/>
        </w:rPr>
        <w:t>由市生态环境局纳入市级生态环保督察问题清单管控，同时由市财政局</w:t>
      </w:r>
      <w:r w:rsidRPr="0093699B">
        <w:rPr>
          <w:rFonts w:ascii="tim" w:hAnsi="tim" w:hint="eastAsia"/>
        </w:rPr>
        <w:t>按</w:t>
      </w:r>
      <w:r w:rsidRPr="0093699B">
        <w:rPr>
          <w:rFonts w:ascii="tim" w:hAnsi="tim"/>
        </w:rPr>
        <w:t>100</w:t>
      </w:r>
      <w:r w:rsidRPr="0093699B">
        <w:rPr>
          <w:rFonts w:ascii="tim" w:hAnsi="tim" w:hint="eastAsia"/>
        </w:rPr>
        <w:t>万</w:t>
      </w:r>
      <w:r w:rsidRPr="0093699B">
        <w:rPr>
          <w:rFonts w:ascii="tim" w:hAnsi="tim"/>
        </w:rPr>
        <w:t>元</w:t>
      </w:r>
      <w:r w:rsidRPr="0093699B">
        <w:rPr>
          <w:rFonts w:ascii="tim" w:hAnsi="tim"/>
        </w:rPr>
        <w:t>/</w:t>
      </w:r>
      <w:r w:rsidRPr="0093699B">
        <w:rPr>
          <w:rFonts w:ascii="tim" w:hAnsi="tim"/>
        </w:rPr>
        <w:t>月的标准收取流域补偿基金，直至区县签署补偿协议。对机制运行过程中，不按本方案</w:t>
      </w:r>
      <w:r w:rsidRPr="0093699B">
        <w:rPr>
          <w:rFonts w:ascii="tim" w:hAnsi="tim" w:hint="eastAsia"/>
        </w:rPr>
        <w:t>要求和协议约定履行补偿义务的区县，由市财政局通过两级财政结算强制收扣补偿资金，同时加计</w:t>
      </w:r>
      <w:r w:rsidRPr="0093699B">
        <w:rPr>
          <w:rFonts w:ascii="tim" w:hAnsi="tim"/>
        </w:rPr>
        <w:t>10%</w:t>
      </w:r>
      <w:r w:rsidRPr="0093699B">
        <w:rPr>
          <w:rFonts w:ascii="tim" w:hAnsi="tim" w:hint="eastAsia"/>
        </w:rPr>
        <w:t>的罚息，一并转拨受</w:t>
      </w:r>
      <w:r w:rsidRPr="0093699B">
        <w:rPr>
          <w:rFonts w:ascii="tim" w:hAnsi="tim"/>
        </w:rPr>
        <w:t>偿区县。</w:t>
      </w:r>
    </w:p>
    <w:p w:rsidR="00915E9C" w:rsidRPr="0093699B" w:rsidRDefault="00915E9C" w:rsidP="00915E9C">
      <w:pPr>
        <w:spacing w:line="578" w:lineRule="exact"/>
        <w:ind w:firstLine="660"/>
        <w:rPr>
          <w:rFonts w:ascii="tim" w:hAnsi="tim"/>
          <w:color w:val="000000"/>
        </w:rPr>
      </w:pPr>
      <w:r w:rsidRPr="0093699B">
        <w:rPr>
          <w:rFonts w:ascii="tim" w:eastAsia="方正楷体_GBK" w:hAnsi="tim"/>
          <w:bCs/>
        </w:rPr>
        <w:t>（三）落实分工责任</w:t>
      </w:r>
      <w:r w:rsidRPr="0093699B">
        <w:rPr>
          <w:rFonts w:ascii="tim" w:hAnsi="tim"/>
          <w:bCs/>
        </w:rPr>
        <w:t>。</w:t>
      </w:r>
      <w:r w:rsidRPr="0093699B">
        <w:rPr>
          <w:rFonts w:ascii="tim" w:hAnsi="tim"/>
        </w:rPr>
        <w:t>区县人民政府负责补偿机制的具体建立和实施。市财政局、市生态环境局共同负责补偿机制的统筹落实，加强业务指导和监督，及时跟踪机制建设情况，协调处理过程中出现的问题，确保工作有序开展。市财政局负责市级有关资金的筹集安排，组织开展补偿资金清算。市生态环境局负责完善补偿监测</w:t>
      </w:r>
      <w:r w:rsidRPr="0093699B">
        <w:rPr>
          <w:rFonts w:ascii="tim" w:hAnsi="tim"/>
          <w:color w:val="000000"/>
        </w:rPr>
        <w:t>网络体系，做好水质监测评价和信息通报，科学核定水质考核目标，指导区县做好补偿断面的确定、补偿资金的核算，以及流域的协同保护治理。市发展改革委、市水利局等市级部门，在职责范围内指导做好生态产品价值实现、水资源保护等工作，共同推动补偿机制不断丰富和完善。</w:t>
      </w:r>
    </w:p>
    <w:p w:rsidR="00915E9C" w:rsidRPr="0093699B" w:rsidRDefault="00915E9C" w:rsidP="00915E9C">
      <w:pPr>
        <w:spacing w:line="578" w:lineRule="exact"/>
        <w:ind w:firstLine="660"/>
        <w:rPr>
          <w:rFonts w:ascii="tim" w:eastAsia="方正黑体_GBK" w:hAnsi="tim"/>
          <w:color w:val="000000"/>
        </w:rPr>
      </w:pPr>
      <w:r w:rsidRPr="0093699B">
        <w:rPr>
          <w:rFonts w:ascii="tim" w:eastAsia="方正黑体_GBK" w:hAnsi="tim"/>
          <w:color w:val="000000"/>
        </w:rPr>
        <w:t>七、其他</w:t>
      </w:r>
    </w:p>
    <w:p w:rsidR="00915E9C" w:rsidRPr="0093699B" w:rsidRDefault="00915E9C" w:rsidP="00915E9C">
      <w:pPr>
        <w:spacing w:line="578" w:lineRule="exact"/>
        <w:ind w:firstLine="660"/>
        <w:rPr>
          <w:rFonts w:ascii="tim" w:hAnsi="tim"/>
          <w:color w:val="000000"/>
        </w:rPr>
      </w:pPr>
      <w:r w:rsidRPr="0093699B">
        <w:rPr>
          <w:rFonts w:ascii="tim" w:hAnsi="tim"/>
          <w:color w:val="000000"/>
        </w:rPr>
        <w:lastRenderedPageBreak/>
        <w:t>本方案由市财政局、市生态环境局负责解释。</w:t>
      </w:r>
    </w:p>
    <w:p w:rsidR="00915E9C" w:rsidRPr="0093699B" w:rsidRDefault="00915E9C" w:rsidP="00915E9C">
      <w:pPr>
        <w:spacing w:line="578" w:lineRule="exact"/>
        <w:ind w:firstLine="660"/>
        <w:rPr>
          <w:rFonts w:ascii="tim" w:hAnsi="tim" w:hint="eastAsia"/>
        </w:rPr>
      </w:pPr>
    </w:p>
    <w:p w:rsidR="00915E9C" w:rsidRPr="0093699B" w:rsidRDefault="00915E9C" w:rsidP="00915E9C">
      <w:pPr>
        <w:spacing w:line="578" w:lineRule="exact"/>
        <w:ind w:leftChars="208" w:left="2846" w:hanging="2180"/>
        <w:rPr>
          <w:rFonts w:ascii="tim" w:hAnsi="tim" w:hint="eastAsia"/>
        </w:rPr>
      </w:pPr>
      <w:r w:rsidRPr="0093699B">
        <w:rPr>
          <w:rFonts w:ascii="tim" w:hAnsi="tim" w:hint="eastAsia"/>
        </w:rPr>
        <w:t>附件：建立流域横向生态保护补偿机制河流及区县清单</w:t>
      </w:r>
    </w:p>
    <w:p w:rsidR="00F4217A" w:rsidRDefault="00F4217A" w:rsidP="00836478">
      <w:pPr>
        <w:spacing w:line="578" w:lineRule="exact"/>
        <w:jc w:val="left"/>
      </w:pPr>
    </w:p>
    <w:sectPr w:rsidR="00F4217A">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8E" w:rsidRDefault="00031E8E">
      <w:pPr>
        <w:spacing w:line="240" w:lineRule="auto"/>
      </w:pPr>
      <w:r>
        <w:separator/>
      </w:r>
    </w:p>
  </w:endnote>
  <w:endnote w:type="continuationSeparator" w:id="0">
    <w:p w:rsidR="00031E8E" w:rsidRDefault="00031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63B42E7C-F80F-4309-B316-54A4FBDF5E7F}"/>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tim">
    <w:altName w:val="Times New Roman"/>
    <w:panose1 w:val="00000000000000000000"/>
    <w:charset w:val="00"/>
    <w:family w:val="roman"/>
    <w:notTrueType/>
    <w:pitch w:val="default"/>
  </w:font>
  <w:font w:name="方正小标宋_GBK">
    <w:charset w:val="86"/>
    <w:family w:val="auto"/>
    <w:pitch w:val="variable"/>
    <w:sig w:usb0="A00002BF" w:usb1="38CF7CFA" w:usb2="00080016" w:usb3="00000000" w:csb0="00040001" w:csb1="00000000"/>
    <w:embedRegular r:id="rId2" w:subsetted="1" w:fontKey="{3AC8D62A-DF70-4D8A-A792-789F67811091}"/>
  </w:font>
  <w:font w:name="楷体">
    <w:charset w:val="86"/>
    <w:family w:val="modern"/>
    <w:pitch w:val="fixed"/>
    <w:sig w:usb0="800002BF" w:usb1="38CF7CFA" w:usb2="00000016" w:usb3="00000000" w:csb0="00040001" w:csb1="00000000"/>
    <w:embedRegular r:id="rId3" w:subsetted="1" w:fontKey="{8B2BD861-2BF3-4937-8C87-E9C65067BD41}"/>
  </w:font>
  <w:font w:name="方正楷体_GBK">
    <w:altName w:val="等线"/>
    <w:charset w:val="86"/>
    <w:family w:val="script"/>
    <w:pitch w:val="fixed"/>
    <w:sig w:usb0="00000000" w:usb1="080E0000" w:usb2="00000010" w:usb3="00000000" w:csb0="00040000" w:csb1="00000000"/>
  </w:font>
  <w:font w:name="方正黑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7A" w:rsidRDefault="00182268">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4217A" w:rsidRDefault="0018226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43CF">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F4217A" w:rsidRDefault="0018226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B43CF">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4217A" w:rsidRDefault="00182268">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BE82412"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F4217A" w:rsidRDefault="00F4217A">
    <w:pPr>
      <w:pStyle w:val="a7"/>
      <w:ind w:leftChars="1803" w:left="5770" w:firstLineChars="2312" w:firstLine="6499"/>
      <w:jc w:val="left"/>
      <w:rPr>
        <w:rFonts w:ascii="宋体" w:eastAsia="宋体" w:hAnsi="宋体" w:cs="宋体"/>
        <w:b/>
        <w:bCs/>
        <w:color w:val="005192"/>
        <w:szCs w:val="28"/>
      </w:rPr>
    </w:pPr>
  </w:p>
  <w:p w:rsidR="00F4217A" w:rsidRDefault="00F4217A">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8E" w:rsidRDefault="00031E8E">
      <w:pPr>
        <w:spacing w:line="240" w:lineRule="auto"/>
      </w:pPr>
      <w:r>
        <w:separator/>
      </w:r>
    </w:p>
  </w:footnote>
  <w:footnote w:type="continuationSeparator" w:id="0">
    <w:p w:rsidR="00031E8E" w:rsidRDefault="00031E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7A" w:rsidRDefault="00182268">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090C0FC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F4217A" w:rsidRDefault="00182268">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F05B4F69"/>
    <w:rsid w:val="F97D9566"/>
    <w:rsid w:val="FDFF411C"/>
    <w:rsid w:val="00031E8E"/>
    <w:rsid w:val="00107300"/>
    <w:rsid w:val="001159AC"/>
    <w:rsid w:val="00144735"/>
    <w:rsid w:val="00172A27"/>
    <w:rsid w:val="00182268"/>
    <w:rsid w:val="0020298F"/>
    <w:rsid w:val="00234C76"/>
    <w:rsid w:val="00257060"/>
    <w:rsid w:val="0038070D"/>
    <w:rsid w:val="003A6FC0"/>
    <w:rsid w:val="00681EE3"/>
    <w:rsid w:val="006A23EA"/>
    <w:rsid w:val="0071528F"/>
    <w:rsid w:val="00836478"/>
    <w:rsid w:val="00915E9C"/>
    <w:rsid w:val="0092090D"/>
    <w:rsid w:val="0094476A"/>
    <w:rsid w:val="009A7CA4"/>
    <w:rsid w:val="009B43CF"/>
    <w:rsid w:val="00A53721"/>
    <w:rsid w:val="00A97621"/>
    <w:rsid w:val="00AB5665"/>
    <w:rsid w:val="00C820DA"/>
    <w:rsid w:val="00D379AD"/>
    <w:rsid w:val="00ED76F8"/>
    <w:rsid w:val="00F4217A"/>
    <w:rsid w:val="00F55351"/>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60337E1"/>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8384E"/>
  <w15:docId w15:val="{FC9F3CEF-BD35-46B3-AA7C-F820D618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9A7CA4"/>
    <w:pPr>
      <w:ind w:leftChars="2500" w:left="100"/>
    </w:pPr>
  </w:style>
  <w:style w:type="character" w:customStyle="1" w:styleId="ac">
    <w:name w:val="日期 字符"/>
    <w:basedOn w:val="a1"/>
    <w:link w:val="ab"/>
    <w:rsid w:val="009A7CA4"/>
    <w:rPr>
      <w:rFonts w:eastAsia="方正仿宋_GBK"/>
      <w:sz w:val="32"/>
      <w:szCs w:val="32"/>
    </w:rPr>
  </w:style>
  <w:style w:type="paragraph" w:styleId="HTML">
    <w:name w:val="HTML Preformatted"/>
    <w:basedOn w:val="a"/>
    <w:link w:val="HTML0"/>
    <w:uiPriority w:val="99"/>
    <w:unhideWhenUsed/>
    <w:rsid w:val="00C8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eastAsia="宋体" w:hAnsi="宋体" w:cs="宋体"/>
      <w:sz w:val="24"/>
      <w:szCs w:val="24"/>
    </w:rPr>
  </w:style>
  <w:style w:type="character" w:customStyle="1" w:styleId="HTML0">
    <w:name w:val="HTML 预设格式 字符"/>
    <w:basedOn w:val="a1"/>
    <w:link w:val="HTML"/>
    <w:uiPriority w:val="99"/>
    <w:rsid w:val="00C820DA"/>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551</Words>
  <Characters>3141</Characters>
  <Application>Microsoft Office Word</Application>
  <DocSecurity>0</DocSecurity>
  <Lines>26</Lines>
  <Paragraphs>7</Paragraphs>
  <ScaleCrop>false</ScaleCrop>
  <Company>Microsoft</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5</cp:revision>
  <cp:lastPrinted>2022-05-12T00:46:00Z</cp:lastPrinted>
  <dcterms:created xsi:type="dcterms:W3CDTF">2023-07-12T12:19:00Z</dcterms:created>
  <dcterms:modified xsi:type="dcterms:W3CDTF">2023-07-12T12:20:00Z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CF834E65221244D49680E47CB9597CCE</vt:lpwstr>
  </property>
</Properties>
</file>