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17A" w:rsidRDefault="00F4217A">
      <w:pPr>
        <w:spacing w:line="600" w:lineRule="exact"/>
        <w:rPr>
          <w:rFonts w:ascii="宋体" w:eastAsia="宋体" w:hAnsi="宋体" w:cs="宋体" w:hint="eastAsia"/>
        </w:rPr>
      </w:pPr>
    </w:p>
    <w:p w:rsidR="006A23EA" w:rsidRPr="00656CC6" w:rsidRDefault="006A23EA" w:rsidP="006A23EA">
      <w:pPr>
        <w:spacing w:line="600" w:lineRule="exact"/>
        <w:jc w:val="center"/>
        <w:rPr>
          <w:rFonts w:eastAsia="方正小标宋_GBK" w:hint="eastAsia"/>
          <w:sz w:val="44"/>
          <w:szCs w:val="44"/>
        </w:rPr>
      </w:pPr>
      <w:r w:rsidRPr="00656CC6">
        <w:rPr>
          <w:rFonts w:eastAsia="方正小标宋_GBK" w:hint="eastAsia"/>
          <w:sz w:val="44"/>
          <w:szCs w:val="44"/>
        </w:rPr>
        <w:t>重庆市财政局</w:t>
      </w:r>
      <w:r w:rsidRPr="00656CC6">
        <w:rPr>
          <w:rFonts w:eastAsia="方正小标宋_GBK" w:hint="eastAsia"/>
          <w:sz w:val="44"/>
          <w:szCs w:val="44"/>
        </w:rPr>
        <w:t xml:space="preserve"> </w:t>
      </w:r>
      <w:r w:rsidRPr="00656CC6">
        <w:rPr>
          <w:rFonts w:eastAsia="方正小标宋_GBK" w:hint="eastAsia"/>
          <w:sz w:val="44"/>
          <w:szCs w:val="44"/>
        </w:rPr>
        <w:t>重庆市教育委员会</w:t>
      </w:r>
    </w:p>
    <w:p w:rsidR="006A23EA" w:rsidRDefault="006A23EA" w:rsidP="006A23EA">
      <w:pPr>
        <w:spacing w:line="600" w:lineRule="exact"/>
        <w:jc w:val="center"/>
        <w:rPr>
          <w:rFonts w:eastAsia="方正小标宋_GBK"/>
          <w:sz w:val="44"/>
          <w:szCs w:val="44"/>
        </w:rPr>
      </w:pPr>
      <w:r w:rsidRPr="00656CC6">
        <w:rPr>
          <w:rFonts w:eastAsia="方正小标宋_GBK" w:hint="eastAsia"/>
          <w:sz w:val="44"/>
          <w:szCs w:val="44"/>
        </w:rPr>
        <w:t>关于下达</w:t>
      </w:r>
      <w:r w:rsidRPr="00656CC6">
        <w:rPr>
          <w:rFonts w:eastAsia="方正小标宋_GBK" w:hint="eastAsia"/>
          <w:sz w:val="44"/>
          <w:szCs w:val="44"/>
        </w:rPr>
        <w:t>2023</w:t>
      </w:r>
      <w:r w:rsidRPr="00656CC6">
        <w:rPr>
          <w:rFonts w:eastAsia="方正小标宋_GBK" w:hint="eastAsia"/>
          <w:sz w:val="44"/>
          <w:szCs w:val="44"/>
        </w:rPr>
        <w:t>年城乡义务教育补助经费</w:t>
      </w:r>
    </w:p>
    <w:p w:rsidR="006A23EA" w:rsidRDefault="006A23EA" w:rsidP="006A23EA">
      <w:pPr>
        <w:spacing w:line="600" w:lineRule="exact"/>
        <w:jc w:val="center"/>
        <w:rPr>
          <w:rFonts w:eastAsia="方正小标宋_GBK"/>
          <w:sz w:val="44"/>
          <w:szCs w:val="44"/>
        </w:rPr>
      </w:pPr>
      <w:r w:rsidRPr="00656CC6">
        <w:rPr>
          <w:rFonts w:eastAsia="方正小标宋_GBK" w:hint="eastAsia"/>
          <w:sz w:val="44"/>
          <w:szCs w:val="44"/>
        </w:rPr>
        <w:t>预算的通知</w:t>
      </w:r>
    </w:p>
    <w:p w:rsidR="006A23EA" w:rsidRPr="006A23EA" w:rsidRDefault="006A23EA" w:rsidP="006A23EA">
      <w:pPr>
        <w:spacing w:line="578" w:lineRule="exact"/>
        <w:jc w:val="center"/>
        <w:rPr>
          <w:rFonts w:ascii="楷体" w:eastAsia="楷体" w:hAnsi="楷体" w:hint="eastAsia"/>
        </w:rPr>
      </w:pPr>
      <w:bookmarkStart w:id="0" w:name="_GoBack"/>
      <w:r w:rsidRPr="006A23EA">
        <w:rPr>
          <w:rFonts w:ascii="楷体" w:eastAsia="楷体" w:hAnsi="楷体" w:hint="eastAsia"/>
        </w:rPr>
        <w:t>渝财教〔20</w:t>
      </w:r>
      <w:r w:rsidRPr="006A23EA">
        <w:rPr>
          <w:rFonts w:ascii="楷体" w:eastAsia="楷体" w:hAnsi="楷体"/>
        </w:rPr>
        <w:t>23</w:t>
      </w:r>
      <w:r w:rsidRPr="006A23EA">
        <w:rPr>
          <w:rFonts w:ascii="楷体" w:eastAsia="楷体" w:hAnsi="楷体" w:hint="eastAsia"/>
        </w:rPr>
        <w:t>〕3</w:t>
      </w:r>
      <w:r w:rsidRPr="006A23EA">
        <w:rPr>
          <w:rFonts w:ascii="楷体" w:eastAsia="楷体" w:hAnsi="楷体"/>
        </w:rPr>
        <w:t>8</w:t>
      </w:r>
      <w:r w:rsidRPr="006A23EA">
        <w:rPr>
          <w:rFonts w:ascii="楷体" w:eastAsia="楷体" w:hAnsi="楷体" w:hint="eastAsia"/>
        </w:rPr>
        <w:t>号</w:t>
      </w:r>
    </w:p>
    <w:bookmarkEnd w:id="0"/>
    <w:p w:rsidR="006A23EA" w:rsidRDefault="006A23EA" w:rsidP="006A23EA">
      <w:pPr>
        <w:spacing w:line="578" w:lineRule="exact"/>
        <w:rPr>
          <w:rFonts w:ascii="方正仿宋_GBK"/>
        </w:rPr>
      </w:pPr>
    </w:p>
    <w:p w:rsidR="006A23EA" w:rsidRPr="00876CAA" w:rsidRDefault="006A23EA" w:rsidP="006A23EA">
      <w:pPr>
        <w:spacing w:line="600" w:lineRule="exact"/>
      </w:pPr>
      <w:r w:rsidRPr="00876CAA">
        <w:rPr>
          <w:rFonts w:hint="eastAsia"/>
        </w:rPr>
        <w:t>各区县（自治县，含</w:t>
      </w:r>
      <w:r w:rsidRPr="00876CAA">
        <w:t>两江新区、</w:t>
      </w:r>
      <w:r w:rsidRPr="00876CAA">
        <w:rPr>
          <w:rFonts w:hint="eastAsia"/>
        </w:rPr>
        <w:t>西部</w:t>
      </w:r>
      <w:r w:rsidRPr="00876CAA">
        <w:t>科学城重庆高新区、万盛经开区</w:t>
      </w:r>
      <w:r w:rsidRPr="00876CAA">
        <w:rPr>
          <w:rFonts w:hint="eastAsia"/>
        </w:rPr>
        <w:t>）财政局、教委（教育局、公共服务局）：</w:t>
      </w:r>
    </w:p>
    <w:p w:rsidR="006A23EA" w:rsidRPr="00656CC6" w:rsidRDefault="006A23EA" w:rsidP="006A23EA">
      <w:pPr>
        <w:spacing w:line="578" w:lineRule="exact"/>
        <w:ind w:firstLineChars="200" w:firstLine="640"/>
        <w:rPr>
          <w:rFonts w:ascii="方正仿宋_GBK" w:hint="eastAsia"/>
        </w:rPr>
      </w:pPr>
      <w:r w:rsidRPr="00656CC6">
        <w:rPr>
          <w:rFonts w:ascii="方正仿宋_GBK" w:hint="eastAsia"/>
        </w:rPr>
        <w:t>按照《财政部、教育部关于下达2023年城乡义务教育补助经费预算的通知》（财教〔2023〕64号）和市教委2023年部门预算，根据2022年教育事业统计数据和《城乡义务教育补助经费管理办法》，经研究，现下达你区县2023年城乡义务教育补助经费预算（详见附件）。收入列“</w:t>
      </w:r>
      <w:r>
        <w:rPr>
          <w:rFonts w:ascii="方正仿宋_GBK" w:hint="eastAsia"/>
        </w:rPr>
        <w:t>1100245</w:t>
      </w:r>
      <w:r w:rsidRPr="00656CC6">
        <w:rPr>
          <w:rFonts w:ascii="方正仿宋_GBK" w:hint="eastAsia"/>
        </w:rPr>
        <w:t>教育共同财政事权转移支付收入”，支出列“20502普通教育”相关科目。现将有关事项通知如下：</w:t>
      </w:r>
    </w:p>
    <w:p w:rsidR="006A23EA" w:rsidRPr="00656CC6" w:rsidRDefault="006A23EA" w:rsidP="006A23EA">
      <w:pPr>
        <w:spacing w:line="578" w:lineRule="exact"/>
        <w:ind w:firstLineChars="200" w:firstLine="640"/>
        <w:rPr>
          <w:rFonts w:ascii="方正仿宋_GBK" w:hint="eastAsia"/>
        </w:rPr>
      </w:pPr>
      <w:r w:rsidRPr="00656CC6">
        <w:rPr>
          <w:rFonts w:ascii="方正仿宋_GBK" w:hint="eastAsia"/>
        </w:rPr>
        <w:t>一、落实城乡义务教育经费保障机制。</w:t>
      </w:r>
    </w:p>
    <w:p w:rsidR="006A23EA" w:rsidRPr="00656CC6" w:rsidRDefault="006A23EA" w:rsidP="006A23EA">
      <w:pPr>
        <w:spacing w:line="578" w:lineRule="exact"/>
        <w:ind w:firstLineChars="200" w:firstLine="640"/>
        <w:rPr>
          <w:rFonts w:ascii="方正仿宋_GBK" w:hint="eastAsia"/>
        </w:rPr>
      </w:pPr>
      <w:r w:rsidRPr="00656CC6">
        <w:rPr>
          <w:rFonts w:ascii="方正仿宋_GBK" w:hint="eastAsia"/>
        </w:rPr>
        <w:t>1.对义务教育学校（含民办学校）按照不低于生均公用经费基准定额标准补助公用经费。经国务院批准，从2023年春季学期起提高义务教育学校生均公用经费中央基准定额。小学提高到720元，初中提高到940元。在此基础上，将原来对寄宿制学校</w:t>
      </w:r>
      <w:r w:rsidRPr="00656CC6">
        <w:rPr>
          <w:rFonts w:ascii="方正仿宋_GBK" w:hint="eastAsia"/>
        </w:rPr>
        <w:lastRenderedPageBreak/>
        <w:t>按照寄宿生年生均200元标准增加公用经费补助，提高到300元。我市特殊教育学校、随班就读的残疾学生和专门学校学生补助标准为每生每年6000元。不足100人的农村学校和专门学校按照100人核定。各区县要按规定及时足额拨付义务教育学校公用经费，严禁滞拨缓拨，严禁挤占、挪用、截留、克扣经费，确保学校正常运转。</w:t>
      </w:r>
    </w:p>
    <w:p w:rsidR="006A23EA" w:rsidRPr="00656CC6" w:rsidRDefault="006A23EA" w:rsidP="006A23EA">
      <w:pPr>
        <w:spacing w:line="578" w:lineRule="exact"/>
        <w:ind w:firstLineChars="200" w:firstLine="640"/>
        <w:rPr>
          <w:rFonts w:ascii="方正仿宋_GBK" w:hint="eastAsia"/>
        </w:rPr>
      </w:pPr>
      <w:r w:rsidRPr="00656CC6">
        <w:rPr>
          <w:rFonts w:ascii="方正仿宋_GBK" w:hint="eastAsia"/>
        </w:rPr>
        <w:t>2.对家庭经济困难学生给予生活费补助。为进一步提高资助精准度，按照财政部、教育部重新核定的我市家庭经济困难寄宿生和非寄宿生补助比例，结合2021-2022年学年报表学生人数，以及2022年秋季学期享受资助学生人数情况，核定各区县贫困学生补助人数，结余资金纳入清算。补助标准为：寄宿生每生每年小学1000元，初中1250元；非寄宿每生每年小学500元、初中625元。同时，统筹农村义务教育阶段学生营养改善计划膳食补助资金，学校为原建档立卡贫困家庭非寄宿学生在校上学期间免费提供一顿午餐。</w:t>
      </w:r>
    </w:p>
    <w:p w:rsidR="006A23EA" w:rsidRPr="00656CC6" w:rsidRDefault="006A23EA" w:rsidP="006A23EA">
      <w:pPr>
        <w:spacing w:line="578" w:lineRule="exact"/>
        <w:ind w:firstLineChars="200" w:firstLine="640"/>
        <w:rPr>
          <w:rFonts w:ascii="方正仿宋_GBK" w:hint="eastAsia"/>
        </w:rPr>
      </w:pPr>
      <w:r w:rsidRPr="00656CC6">
        <w:rPr>
          <w:rFonts w:ascii="方正仿宋_GBK" w:hint="eastAsia"/>
        </w:rPr>
        <w:t>3.对义务教育学生（含民办学校学生）免费提供教科书、初中教辅材料。各区县要组织实施好国家规定课程免费教科书征订和循环使用工作，保障学生课前到书。</w:t>
      </w:r>
    </w:p>
    <w:p w:rsidR="006A23EA" w:rsidRPr="00656CC6" w:rsidRDefault="006A23EA" w:rsidP="006A23EA">
      <w:pPr>
        <w:spacing w:line="578" w:lineRule="exact"/>
        <w:ind w:firstLineChars="200" w:firstLine="640"/>
        <w:rPr>
          <w:rFonts w:ascii="方正仿宋_GBK" w:hint="eastAsia"/>
        </w:rPr>
      </w:pPr>
      <w:r w:rsidRPr="00656CC6">
        <w:rPr>
          <w:rFonts w:ascii="方正仿宋_GBK" w:hint="eastAsia"/>
        </w:rPr>
        <w:t>4.加强义务教育学校校舍安全保障。支持公办学校维修改造、抗震加固、改扩建校舍及其附属设施。各区县要将地质灾害排查</w:t>
      </w:r>
      <w:r w:rsidRPr="00656CC6">
        <w:rPr>
          <w:rFonts w:ascii="方正仿宋_GBK" w:hint="eastAsia"/>
        </w:rPr>
        <w:lastRenderedPageBreak/>
        <w:t>问题校舍改造资金优先纳入安排予以保障。要科学确定年度项目计划，加快执行进度，并做好与发展改革部门安排基本建设项目等各渠道资金的统筹和对接，防止资金、项目安排重复交叉或缺位。各区县要根据《农村普通中小学校建设标准》关于校舍主要建筑标准要求，于2023年11月底前将本地区安全校舍面积报送至市教委、市财政局。在核定2024年校舍安全保障长效机制补助预算时，将统筹考虑各地报送的安全校舍面积等因素，对2023年补助资金进行清算。</w:t>
      </w:r>
    </w:p>
    <w:p w:rsidR="006A23EA" w:rsidRPr="00656CC6" w:rsidRDefault="006A23EA" w:rsidP="006A23EA">
      <w:pPr>
        <w:spacing w:line="578" w:lineRule="exact"/>
        <w:ind w:firstLineChars="200" w:firstLine="640"/>
        <w:rPr>
          <w:rFonts w:ascii="方正仿宋_GBK" w:hint="eastAsia"/>
        </w:rPr>
      </w:pPr>
      <w:r w:rsidRPr="00656CC6">
        <w:rPr>
          <w:rFonts w:ascii="方正仿宋_GBK" w:hint="eastAsia"/>
        </w:rPr>
        <w:t>二、实施农村义务教育学生营养改善计划。支持国家和地方试点地区，对县城以外的农村地区义务教育学校就读学生提供营养膳食补助。补助资金用于向学生提供等值优质的食品，不得以现金方式直接发放，不得用于补贴教职工伙食、学校公用经费，不得用于劳务费、宣传费、运输费等工作经费。市级按标准补助食堂运行经费。</w:t>
      </w:r>
    </w:p>
    <w:p w:rsidR="006A23EA" w:rsidRPr="00656CC6" w:rsidRDefault="006A23EA" w:rsidP="006A23EA">
      <w:pPr>
        <w:spacing w:line="578" w:lineRule="exact"/>
        <w:ind w:firstLineChars="200" w:firstLine="640"/>
        <w:rPr>
          <w:rFonts w:ascii="方正仿宋_GBK" w:hint="eastAsia"/>
        </w:rPr>
      </w:pPr>
      <w:r w:rsidRPr="00656CC6">
        <w:rPr>
          <w:rFonts w:ascii="方正仿宋_GBK" w:hint="eastAsia"/>
        </w:rPr>
        <w:t>三、实施特岗计划。中央财政根据2023年特岗教师招聘计划和以前年度在岗教师人数，按照年人均补助标准核定特岗教师工资补助。各区县要强化主体责任，确保特岗教师工资按时足额发放，按规定参加社会保险并及时缴纳养老保险、医疗保险等社会保险费用。在核定2024年特岗教师工资性补助时，将根据2023年实际到岗教师人数据实结算，对未完成招聘计划的核减补助经</w:t>
      </w:r>
      <w:r w:rsidRPr="00656CC6">
        <w:rPr>
          <w:rFonts w:ascii="方正仿宋_GBK" w:hint="eastAsia"/>
        </w:rPr>
        <w:lastRenderedPageBreak/>
        <w:t>费。</w:t>
      </w:r>
    </w:p>
    <w:p w:rsidR="006A23EA" w:rsidRPr="00656CC6" w:rsidRDefault="006A23EA" w:rsidP="006A23EA">
      <w:pPr>
        <w:spacing w:line="578" w:lineRule="exact"/>
        <w:ind w:firstLineChars="200" w:firstLine="640"/>
        <w:rPr>
          <w:rFonts w:ascii="方正仿宋_GBK" w:hint="eastAsia"/>
        </w:rPr>
      </w:pPr>
      <w:r w:rsidRPr="00656CC6">
        <w:rPr>
          <w:rFonts w:ascii="方正仿宋_GBK" w:hint="eastAsia"/>
        </w:rPr>
        <w:t>四、做好乡村教师岗位生活补助等重点工作。各区县严格落实乡村教师岗位生活补助政策，市级对原12个集中连片贫困区县按人均400元，其他贫困区县和梁平区、垫江县按人均300元，其他纳入补助区县按人均200元标准给予补助。对有关区县规范民办义务教育发展给予适当奖补，奖补资金由相关区县统筹用于城乡义务教育经费保障机制相关支出。</w:t>
      </w:r>
    </w:p>
    <w:p w:rsidR="006A23EA" w:rsidRPr="00656CC6" w:rsidRDefault="006A23EA" w:rsidP="006A23EA">
      <w:pPr>
        <w:spacing w:line="578" w:lineRule="exact"/>
        <w:ind w:firstLineChars="200" w:firstLine="640"/>
        <w:rPr>
          <w:rFonts w:ascii="方正仿宋_GBK" w:hint="eastAsia"/>
        </w:rPr>
      </w:pPr>
      <w:r w:rsidRPr="00656CC6">
        <w:rPr>
          <w:rFonts w:ascii="方正仿宋_GBK" w:hint="eastAsia"/>
        </w:rPr>
        <w:t>五、城乡义务教育补助经费纳入直达资金范围管理，各区县要做好直达资金分配、下达、监控等工作，及时准确将预算指标、资金支付等数据导入直达资金监控系统。各区县要落实经费管理的主体责任，细化预算编制，加快预算执行，强化预算监督，确保各项政策落实到位，并做好全过程预算绩效管理，确保资金安全和使用效益。</w:t>
      </w:r>
    </w:p>
    <w:p w:rsidR="006A23EA" w:rsidRPr="00656CC6" w:rsidRDefault="006A23EA" w:rsidP="006A23EA">
      <w:pPr>
        <w:spacing w:line="578" w:lineRule="exact"/>
        <w:ind w:firstLineChars="200" w:firstLine="640"/>
        <w:rPr>
          <w:rFonts w:ascii="方正仿宋_GBK" w:hint="eastAsia"/>
        </w:rPr>
      </w:pPr>
    </w:p>
    <w:p w:rsidR="006A23EA" w:rsidRPr="00656CC6" w:rsidRDefault="006A23EA" w:rsidP="006A23EA">
      <w:pPr>
        <w:spacing w:line="578" w:lineRule="exact"/>
        <w:ind w:firstLineChars="200" w:firstLine="640"/>
        <w:rPr>
          <w:rFonts w:ascii="方正仿宋_GBK" w:hint="eastAsia"/>
        </w:rPr>
      </w:pPr>
      <w:r w:rsidRPr="00656CC6">
        <w:rPr>
          <w:rFonts w:ascii="方正仿宋_GBK" w:hint="eastAsia"/>
        </w:rPr>
        <w:t>附件：2023年城乡义务教育补助经费预算表</w:t>
      </w:r>
    </w:p>
    <w:p w:rsidR="006A23EA" w:rsidRPr="00876CAA" w:rsidRDefault="006A23EA" w:rsidP="006A23EA">
      <w:pPr>
        <w:spacing w:line="578" w:lineRule="exact"/>
        <w:rPr>
          <w:rFonts w:hint="eastAsia"/>
        </w:rPr>
      </w:pPr>
    </w:p>
    <w:p w:rsidR="006A23EA" w:rsidRPr="00876CAA" w:rsidRDefault="006A23EA" w:rsidP="006A23EA">
      <w:pPr>
        <w:wordWrap w:val="0"/>
        <w:spacing w:line="578" w:lineRule="exact"/>
        <w:jc w:val="right"/>
        <w:rPr>
          <w:rFonts w:hint="eastAsia"/>
        </w:rPr>
      </w:pPr>
      <w:r w:rsidRPr="00876CAA">
        <w:rPr>
          <w:rFonts w:hint="eastAsia"/>
        </w:rPr>
        <w:t>重庆市财政局</w:t>
      </w:r>
      <w:r w:rsidRPr="00876CAA">
        <w:rPr>
          <w:rFonts w:hint="eastAsia"/>
        </w:rPr>
        <w:t xml:space="preserve"> </w:t>
      </w:r>
      <w:r>
        <w:t xml:space="preserve">   </w:t>
      </w:r>
      <w:r w:rsidRPr="00876CAA">
        <w:rPr>
          <w:rFonts w:hint="eastAsia"/>
        </w:rPr>
        <w:t xml:space="preserve"> </w:t>
      </w:r>
      <w:r w:rsidRPr="00876CAA">
        <w:rPr>
          <w:rFonts w:hint="eastAsia"/>
        </w:rPr>
        <w:t>重庆市教育委员会</w:t>
      </w:r>
    </w:p>
    <w:p w:rsidR="006A23EA" w:rsidRDefault="006A23EA" w:rsidP="006A23EA">
      <w:pPr>
        <w:spacing w:line="578" w:lineRule="exact"/>
        <w:ind w:firstLineChars="1771" w:firstLine="5667"/>
        <w:jc w:val="right"/>
      </w:pPr>
      <w:r w:rsidRPr="00876CAA">
        <w:rPr>
          <w:rFonts w:hint="eastAsia"/>
        </w:rPr>
        <w:t>20</w:t>
      </w:r>
      <w:r w:rsidRPr="00876CAA">
        <w:t>23</w:t>
      </w:r>
      <w:r w:rsidRPr="00876CAA">
        <w:rPr>
          <w:rFonts w:hint="eastAsia"/>
        </w:rPr>
        <w:t>年</w:t>
      </w:r>
      <w:r w:rsidRPr="00876CAA">
        <w:t>6</w:t>
      </w:r>
      <w:r w:rsidRPr="00876CAA">
        <w:rPr>
          <w:rFonts w:hint="eastAsia"/>
        </w:rPr>
        <w:t>月</w:t>
      </w:r>
      <w:r w:rsidRPr="00876CAA">
        <w:t>1</w:t>
      </w:r>
      <w:r w:rsidRPr="00876CAA">
        <w:rPr>
          <w:rFonts w:hint="eastAsia"/>
        </w:rPr>
        <w:t>日</w:t>
      </w:r>
    </w:p>
    <w:p w:rsidR="006A23EA" w:rsidRPr="006A23EA" w:rsidRDefault="006A23EA" w:rsidP="006A23EA">
      <w:pPr>
        <w:pStyle w:val="a0"/>
        <w:rPr>
          <w:rFonts w:hint="eastAsia"/>
        </w:rPr>
      </w:pPr>
    </w:p>
    <w:p w:rsidR="00F4217A" w:rsidRDefault="006A23EA" w:rsidP="006A23EA">
      <w:pPr>
        <w:spacing w:line="578" w:lineRule="exact"/>
        <w:ind w:firstLineChars="200" w:firstLine="640"/>
        <w:rPr>
          <w:rFonts w:hint="eastAsia"/>
        </w:rPr>
      </w:pPr>
      <w:r w:rsidRPr="00876CAA">
        <w:rPr>
          <w:rFonts w:hint="eastAsia"/>
        </w:rPr>
        <w:t>（此件</w:t>
      </w:r>
      <w:r>
        <w:rPr>
          <w:rFonts w:hint="eastAsia"/>
        </w:rPr>
        <w:t>主动</w:t>
      </w:r>
      <w:r w:rsidRPr="00876CAA">
        <w:rPr>
          <w:rFonts w:hint="eastAsia"/>
        </w:rPr>
        <w:t>公开）</w:t>
      </w:r>
    </w:p>
    <w:sectPr w:rsidR="00F4217A">
      <w:headerReference w:type="default" r:id="rId7"/>
      <w:footerReference w:type="default" r:id="rId8"/>
      <w:pgSz w:w="11906" w:h="16838"/>
      <w:pgMar w:top="1962" w:right="1474" w:bottom="1848" w:left="158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735" w:rsidRDefault="00144735">
      <w:pPr>
        <w:spacing w:line="240" w:lineRule="auto"/>
      </w:pPr>
      <w:r>
        <w:separator/>
      </w:r>
    </w:p>
  </w:endnote>
  <w:endnote w:type="continuationSeparator" w:id="0">
    <w:p w:rsidR="00144735" w:rsidRDefault="001447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79D8EBA8-9064-42BF-A2CB-2911C6BA983A}"/>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6FE8A8CE-4351-41A6-8BBB-68FBA8CAE52C}"/>
  </w:font>
  <w:font w:name="楷体">
    <w:charset w:val="86"/>
    <w:family w:val="modern"/>
    <w:pitch w:val="fixed"/>
    <w:sig w:usb0="800002BF" w:usb1="38CF7CFA" w:usb2="00000016" w:usb3="00000000" w:csb0="00040001" w:csb1="00000000"/>
    <w:embedRegular r:id="rId3" w:subsetted="1" w:fontKey="{D82B9CD9-2BE2-4F90-BE77-AAFC9997266D}"/>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17A" w:rsidRDefault="00182268">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F4217A" w:rsidRDefault="00182268">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A23EA">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F4217A" w:rsidRDefault="00182268">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A23EA">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F4217A" w:rsidRDefault="00182268">
    <w:pPr>
      <w:pStyle w:val="a7"/>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652B1A7D"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F4217A" w:rsidRDefault="00F4217A">
    <w:pPr>
      <w:pStyle w:val="a7"/>
      <w:ind w:leftChars="1803" w:left="5770" w:firstLineChars="2312" w:firstLine="6499"/>
      <w:jc w:val="left"/>
      <w:rPr>
        <w:rFonts w:ascii="宋体" w:eastAsia="宋体" w:hAnsi="宋体" w:cs="宋体"/>
        <w:b/>
        <w:bCs/>
        <w:color w:val="005192"/>
        <w:szCs w:val="28"/>
      </w:rPr>
    </w:pPr>
  </w:p>
  <w:p w:rsidR="00F4217A" w:rsidRDefault="00F4217A">
    <w:pPr>
      <w:pStyle w:val="a7"/>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735" w:rsidRDefault="00144735">
      <w:pPr>
        <w:spacing w:line="240" w:lineRule="auto"/>
      </w:pPr>
      <w:r>
        <w:separator/>
      </w:r>
    </w:p>
  </w:footnote>
  <w:footnote w:type="continuationSeparator" w:id="0">
    <w:p w:rsidR="00144735" w:rsidRDefault="001447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17A" w:rsidRDefault="00182268">
    <w:pPr>
      <w:pStyle w:val="a7"/>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49CD7D7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F4217A" w:rsidRDefault="00182268">
    <w:pPr>
      <w:pStyle w:val="a7"/>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4MjdmYzZiMDhiNDZlOTU5NWQ4YWI5ODhjYmFjZjAifQ=="/>
  </w:docVars>
  <w:rsids>
    <w:rsidRoot w:val="00172A27"/>
    <w:rsid w:val="F05B4F69"/>
    <w:rsid w:val="F97D9566"/>
    <w:rsid w:val="FDFF411C"/>
    <w:rsid w:val="00107300"/>
    <w:rsid w:val="00144735"/>
    <w:rsid w:val="00172A27"/>
    <w:rsid w:val="00182268"/>
    <w:rsid w:val="00681EE3"/>
    <w:rsid w:val="006A23EA"/>
    <w:rsid w:val="0071528F"/>
    <w:rsid w:val="009A7CA4"/>
    <w:rsid w:val="00A97621"/>
    <w:rsid w:val="00AB5665"/>
    <w:rsid w:val="00C820DA"/>
    <w:rsid w:val="00ED76F8"/>
    <w:rsid w:val="00F4217A"/>
    <w:rsid w:val="00F55351"/>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60337E1"/>
    <w:rsid w:val="49BA174B"/>
    <w:rsid w:val="4BC77339"/>
    <w:rsid w:val="4C9236C5"/>
    <w:rsid w:val="4E250A85"/>
    <w:rsid w:val="4FFD4925"/>
    <w:rsid w:val="505C172E"/>
    <w:rsid w:val="506405EA"/>
    <w:rsid w:val="50827473"/>
    <w:rsid w:val="52443849"/>
    <w:rsid w:val="52511493"/>
    <w:rsid w:val="52F46F0B"/>
    <w:rsid w:val="532B6A10"/>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C41577F"/>
    <w:rsid w:val="7C9011D9"/>
    <w:rsid w:val="7DC651C5"/>
    <w:rsid w:val="7DF350ED"/>
    <w:rsid w:val="7EF87D63"/>
    <w:rsid w:val="7F407923"/>
    <w:rsid w:val="7F9DA0E8"/>
    <w:rsid w:val="7FCC2834"/>
    <w:rsid w:val="7FF6A4EF"/>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F3860"/>
  <w15:docId w15:val="{FC9F3CEF-BD35-46B3-AA7C-F820D6188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style>
  <w:style w:type="paragraph" w:styleId="a4">
    <w:name w:val="Body Text First Indent"/>
    <w:basedOn w:val="a0"/>
    <w:qFormat/>
    <w:pPr>
      <w:spacing w:after="160"/>
      <w:ind w:firstLineChars="100" w:firstLine="420"/>
    </w:pPr>
  </w:style>
  <w:style w:type="paragraph" w:styleId="a5">
    <w:name w:val="annotation text"/>
    <w:basedOn w:val="a"/>
    <w:qFormat/>
    <w:pPr>
      <w:jc w:val="left"/>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8">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9">
    <w:name w:val="Strong"/>
    <w:basedOn w:val="a1"/>
    <w:qFormat/>
    <w:rPr>
      <w:b/>
      <w:bCs/>
    </w:rPr>
  </w:style>
  <w:style w:type="character" w:styleId="aa">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b">
    <w:name w:val="Date"/>
    <w:basedOn w:val="a"/>
    <w:next w:val="a"/>
    <w:link w:val="ac"/>
    <w:rsid w:val="009A7CA4"/>
    <w:pPr>
      <w:ind w:leftChars="2500" w:left="100"/>
    </w:pPr>
  </w:style>
  <w:style w:type="character" w:customStyle="1" w:styleId="ac">
    <w:name w:val="日期 字符"/>
    <w:basedOn w:val="a1"/>
    <w:link w:val="ab"/>
    <w:rsid w:val="009A7CA4"/>
    <w:rPr>
      <w:rFonts w:eastAsia="方正仿宋_GBK"/>
      <w:sz w:val="32"/>
      <w:szCs w:val="32"/>
    </w:rPr>
  </w:style>
  <w:style w:type="paragraph" w:styleId="HTML">
    <w:name w:val="HTML Preformatted"/>
    <w:basedOn w:val="a"/>
    <w:link w:val="HTML0"/>
    <w:uiPriority w:val="99"/>
    <w:unhideWhenUsed/>
    <w:rsid w:val="00C820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宋体" w:eastAsia="宋体" w:hAnsi="宋体" w:cs="宋体"/>
      <w:sz w:val="24"/>
      <w:szCs w:val="24"/>
    </w:rPr>
  </w:style>
  <w:style w:type="character" w:customStyle="1" w:styleId="HTML0">
    <w:name w:val="HTML 预设格式 字符"/>
    <w:basedOn w:val="a1"/>
    <w:link w:val="HTML"/>
    <w:uiPriority w:val="99"/>
    <w:rsid w:val="00C820DA"/>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276</Words>
  <Characters>1578</Characters>
  <Application>Microsoft Office Word</Application>
  <DocSecurity>0</DocSecurity>
  <Lines>13</Lines>
  <Paragraphs>3</Paragraphs>
  <ScaleCrop>false</ScaleCrop>
  <Company>Microsoft</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2022-05-12T00:46:00Z</cp:lastPrinted>
  <dcterms:created xsi:type="dcterms:W3CDTF">2023-06-12T09:51:00Z</dcterms:created>
  <dcterms:modified xsi:type="dcterms:W3CDTF">2023-06-12T09:51:00Z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CF834E65221244D49680E47CB9597CCE</vt:lpwstr>
  </property>
</Properties>
</file>