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rPr>
          <w:rFonts w:hint="eastAsia" w:ascii="宋体" w:hAnsi="宋体" w:eastAsia="宋体" w:cs="宋体"/>
          <w:sz w:val="32"/>
          <w:szCs w:val="32"/>
          <w:lang w:val="en-US" w:eastAsia="zh-CN"/>
        </w:rPr>
      </w:pPr>
    </w:p>
    <w:p>
      <w:pPr>
        <w:keepNext w:val="0"/>
        <w:keepLines w:val="0"/>
        <w:pageBreakBefore w:val="0"/>
        <w:kinsoku/>
        <w:wordWrap/>
        <w:overflowPunct/>
        <w:topLinePunct w:val="0"/>
        <w:autoSpaceDE/>
        <w:autoSpaceDN/>
        <w:bidi w:val="0"/>
        <w:snapToGrid/>
        <w:spacing w:line="600" w:lineRule="exact"/>
        <w:jc w:val="both"/>
        <w:rPr>
          <w:rFonts w:hint="eastAsia" w:ascii="宋体" w:hAnsi="宋体" w:eastAsia="宋体" w:cs="宋体"/>
          <w:sz w:val="32"/>
          <w:szCs w:val="32"/>
          <w:lang w:val="en-US" w:eastAsia="zh-CN"/>
        </w:rPr>
      </w:pPr>
    </w:p>
    <w:p>
      <w:pPr>
        <w:spacing w:line="578" w:lineRule="exact"/>
        <w:jc w:val="center"/>
        <w:rPr>
          <w:rFonts w:eastAsia="方正小标宋_GBK"/>
          <w:sz w:val="44"/>
          <w:szCs w:val="44"/>
        </w:rPr>
      </w:pPr>
      <w:r>
        <w:rPr>
          <w:rFonts w:hint="eastAsia" w:eastAsia="方正小标宋_GBK"/>
          <w:sz w:val="44"/>
          <w:szCs w:val="44"/>
        </w:rPr>
        <w:t>重庆市</w:t>
      </w:r>
      <w:r>
        <w:rPr>
          <w:rFonts w:eastAsia="方正小标宋_GBK"/>
          <w:sz w:val="44"/>
          <w:szCs w:val="44"/>
        </w:rPr>
        <w:t>财政局</w:t>
      </w:r>
      <w:r>
        <w:rPr>
          <w:rFonts w:hint="eastAsia" w:eastAsia="方正小标宋_GBK"/>
          <w:sz w:val="44"/>
          <w:szCs w:val="44"/>
        </w:rPr>
        <w:t>关于开展</w:t>
      </w:r>
      <w:r>
        <w:rPr>
          <w:rFonts w:eastAsia="方正小标宋_GBK"/>
          <w:sz w:val="44"/>
          <w:szCs w:val="44"/>
        </w:rPr>
        <w:t>2022</w:t>
      </w:r>
      <w:r>
        <w:rPr>
          <w:rFonts w:hint="eastAsia" w:eastAsia="方正小标宋_GBK"/>
          <w:sz w:val="44"/>
          <w:szCs w:val="44"/>
        </w:rPr>
        <w:t>年度</w:t>
      </w:r>
    </w:p>
    <w:p>
      <w:pPr>
        <w:spacing w:line="578" w:lineRule="exact"/>
        <w:jc w:val="center"/>
        <w:rPr>
          <w:rFonts w:eastAsia="方正小标宋_GBK"/>
          <w:sz w:val="44"/>
          <w:szCs w:val="44"/>
        </w:rPr>
      </w:pPr>
      <w:r>
        <w:rPr>
          <w:rFonts w:hint="eastAsia" w:eastAsia="方正小标宋_GBK"/>
          <w:sz w:val="44"/>
          <w:szCs w:val="44"/>
        </w:rPr>
        <w:t>行政事业单位内部控制报告编报工作的通知</w:t>
      </w:r>
    </w:p>
    <w:p>
      <w:pPr>
        <w:spacing w:line="578" w:lineRule="exact"/>
        <w:jc w:val="center"/>
        <w:rPr>
          <w:rFonts w:hint="eastAsia" w:ascii="楷体" w:hAnsi="楷体" w:eastAsia="楷体" w:cs="楷体"/>
          <w:kern w:val="0"/>
          <w:sz w:val="32"/>
          <w:szCs w:val="32"/>
          <w:lang w:val="en-US" w:eastAsia="zh-CN" w:bidi="ar-SA"/>
        </w:rPr>
      </w:pPr>
      <w:bookmarkStart w:id="0" w:name="_GoBack"/>
      <w:r>
        <w:rPr>
          <w:rFonts w:hint="eastAsia" w:ascii="楷体" w:hAnsi="楷体" w:eastAsia="楷体" w:cs="楷体"/>
          <w:kern w:val="0"/>
          <w:sz w:val="32"/>
          <w:szCs w:val="32"/>
          <w:lang w:val="en-US" w:eastAsia="zh-CN" w:bidi="ar-SA"/>
        </w:rPr>
        <w:t>渝财会〔2023〕11号</w:t>
      </w:r>
    </w:p>
    <w:bookmarkEnd w:id="0"/>
    <w:p>
      <w:pPr>
        <w:spacing w:line="578" w:lineRule="exact"/>
        <w:jc w:val="center"/>
        <w:rPr>
          <w:rFonts w:hint="eastAsia" w:ascii="楷体" w:hAnsi="楷体" w:eastAsia="楷体" w:cs="楷体"/>
          <w:kern w:val="0"/>
          <w:sz w:val="32"/>
          <w:szCs w:val="32"/>
          <w:lang w:val="en-US" w:eastAsia="zh-CN" w:bidi="ar-SA"/>
        </w:rPr>
      </w:pPr>
    </w:p>
    <w:p>
      <w:pPr>
        <w:spacing w:line="578" w:lineRule="exact"/>
      </w:pPr>
      <w:r>
        <w:rPr>
          <w:rFonts w:hint="eastAsia"/>
        </w:rPr>
        <w:t>各区县（自治县）财政局，</w:t>
      </w:r>
      <w:r>
        <w:t>两江新区</w:t>
      </w:r>
      <w:r>
        <w:rPr>
          <w:rFonts w:hint="eastAsia"/>
        </w:rPr>
        <w:t>、西部科学城</w:t>
      </w:r>
      <w:r>
        <w:t>重庆高新区、万盛经开区财政局</w:t>
      </w:r>
      <w:r>
        <w:rPr>
          <w:rFonts w:hint="eastAsia"/>
        </w:rPr>
        <w:t>，市级各部门：</w:t>
      </w:r>
    </w:p>
    <w:p>
      <w:pPr>
        <w:spacing w:line="578" w:lineRule="exact"/>
        <w:ind w:firstLine="640"/>
      </w:pPr>
      <w:r>
        <w:rPr>
          <w:rFonts w:hint="eastAsia"/>
        </w:rPr>
        <w:t>为做好</w:t>
      </w:r>
      <w:r>
        <w:t>2022</w:t>
      </w:r>
      <w:r>
        <w:rPr>
          <w:rFonts w:hint="eastAsia"/>
        </w:rPr>
        <w:t>年度全市各级各类行政事业单位内部控制报告编报工作，根据《财政部关于全面推进行政事业单位内部控制建设的指导意见》（财会〔</w:t>
      </w:r>
      <w:r>
        <w:t>2015</w:t>
      </w:r>
      <w:r>
        <w:rPr>
          <w:rFonts w:hint="eastAsia"/>
        </w:rPr>
        <w:t>〕</w:t>
      </w:r>
      <w:r>
        <w:t>24</w:t>
      </w:r>
      <w:r>
        <w:rPr>
          <w:rFonts w:hint="eastAsia"/>
        </w:rPr>
        <w:t>号）、《行政事业单位内部控制报告管理制度（试行）》（财会〔</w:t>
      </w:r>
      <w:r>
        <w:t>2017</w:t>
      </w:r>
      <w:r>
        <w:rPr>
          <w:rFonts w:hint="eastAsia"/>
        </w:rPr>
        <w:t>〕</w:t>
      </w:r>
      <w:r>
        <w:t>1</w:t>
      </w:r>
      <w:r>
        <w:rPr>
          <w:rFonts w:hint="eastAsia"/>
        </w:rPr>
        <w:t>号）和《财政部关于开展</w:t>
      </w:r>
      <w:r>
        <w:t>2022</w:t>
      </w:r>
      <w:r>
        <w:rPr>
          <w:rFonts w:hint="eastAsia"/>
        </w:rPr>
        <w:t>年度行政事业单位内部控制报告编报工作的通知》（财会〔</w:t>
      </w:r>
      <w:r>
        <w:t>2023</w:t>
      </w:r>
      <w:r>
        <w:rPr>
          <w:rFonts w:hint="eastAsia"/>
        </w:rPr>
        <w:t>〕</w:t>
      </w:r>
      <w:r>
        <w:t>6</w:t>
      </w:r>
      <w:r>
        <w:rPr>
          <w:rFonts w:hint="eastAsia"/>
        </w:rPr>
        <w:t>号）的有关要求，现就我市</w:t>
      </w:r>
      <w:r>
        <w:t>2022</w:t>
      </w:r>
      <w:r>
        <w:rPr>
          <w:rFonts w:hint="eastAsia"/>
        </w:rPr>
        <w:t>年度行政事业单位内部控制报告编报工作通知如下：</w:t>
      </w:r>
    </w:p>
    <w:p>
      <w:pPr>
        <w:spacing w:line="578" w:lineRule="exact"/>
        <w:ind w:firstLine="640"/>
        <w:rPr>
          <w:rFonts w:eastAsia="方正黑体_GBK"/>
        </w:rPr>
      </w:pPr>
      <w:r>
        <w:rPr>
          <w:rFonts w:hint="eastAsia" w:eastAsia="方正黑体_GBK"/>
        </w:rPr>
        <w:t>一、总体要求</w:t>
      </w:r>
    </w:p>
    <w:p>
      <w:pPr>
        <w:spacing w:line="578" w:lineRule="exact"/>
        <w:ind w:firstLine="640"/>
      </w:pPr>
      <w:r>
        <w:rPr>
          <w:rFonts w:hint="eastAsia" w:eastAsia="方正楷体_GBK"/>
        </w:rPr>
        <w:t>（一）提高政治站位，加强组织协调</w:t>
      </w:r>
      <w:r>
        <w:rPr>
          <w:rFonts w:hint="eastAsia"/>
        </w:rPr>
        <w:t>。各区县、各部门、各单位要切实提高政治站位，落实内部财会监督主体责任，积极推进单位内部控制体系建设和内部控制报告编报工作。各区县、各部门要切实加强对本区县、</w:t>
      </w:r>
      <w:r>
        <w:t>本</w:t>
      </w:r>
      <w:r>
        <w:rPr>
          <w:rFonts w:hint="eastAsia"/>
        </w:rPr>
        <w:t>部门内部控制报告编报工作的组织领导，完善工作机制，制定工作方案，明确时间节点，层层压实责任，有序推进内部控制报告的编制、汇总、审核、报送、分析、应用等各项工作。同时做好内部控制报告与部门决算、预算绩效管理、政府采购、行政事业性国有资产报告等工作的统筹协调，确保同口径数据的协调一致性。</w:t>
      </w:r>
    </w:p>
    <w:p>
      <w:pPr>
        <w:spacing w:line="578" w:lineRule="exact"/>
        <w:ind w:firstLine="640"/>
      </w:pPr>
      <w:r>
        <w:rPr>
          <w:rFonts w:hint="eastAsia" w:eastAsia="方正楷体_GBK"/>
        </w:rPr>
        <w:t>（二）加强审核检查，提高编报质量。</w:t>
      </w:r>
      <w:r>
        <w:rPr>
          <w:rFonts w:hint="eastAsia"/>
        </w:rPr>
        <w:t>各单位应当根据</w:t>
      </w:r>
      <w:r>
        <w:t>2022</w:t>
      </w:r>
      <w:r>
        <w:rPr>
          <w:rFonts w:hint="eastAsia"/>
        </w:rPr>
        <w:t>年度内部控制建设的实际情况、存在的问题和取得的成效，以能够反映本单位内部控制真实情况的相关材料为支撑，科学准确编制本单位《</w:t>
      </w:r>
      <w:r>
        <w:t>2022</w:t>
      </w:r>
      <w:r>
        <w:rPr>
          <w:rFonts w:hint="eastAsia"/>
        </w:rPr>
        <w:t>年度行政事业单位内部控制报告》（见附件</w:t>
      </w:r>
      <w:r>
        <w:t>1</w:t>
      </w:r>
      <w:r>
        <w:rPr>
          <w:rFonts w:hint="eastAsia"/>
        </w:rPr>
        <w:t>）。加强内部控制报告审核工作，在内部控制报告中填报审核情况。未经审核的内部控制报告不得汇总上报。各级汇总单位应当对本级及所属单位内部控制报告进行汇总审核，编制并报送《</w:t>
      </w:r>
      <w:r>
        <w:t>2022</w:t>
      </w:r>
      <w:r>
        <w:rPr>
          <w:rFonts w:hint="eastAsia"/>
        </w:rPr>
        <w:t>年度地区（部门）汇总内部控制报告》（见附件</w:t>
      </w:r>
      <w:r>
        <w:t>2</w:t>
      </w:r>
      <w:r>
        <w:rPr>
          <w:rFonts w:hint="eastAsia"/>
        </w:rPr>
        <w:t>）。各区县、各部门应当抽取一定比例的所属单位，对其内控报告的编报质量进行检查，重点关注内部控制报告内容的真实性、完整性、规范性。</w:t>
      </w:r>
    </w:p>
    <w:p>
      <w:pPr>
        <w:spacing w:line="550" w:lineRule="exact"/>
        <w:ind w:firstLine="641"/>
      </w:pPr>
      <w:r>
        <w:rPr>
          <w:rFonts w:hint="eastAsia" w:eastAsia="方正楷体_GBK"/>
        </w:rPr>
        <w:t>（三）强化分析应用，做好问题整改。</w:t>
      </w:r>
      <w:r>
        <w:rPr>
          <w:rFonts w:hint="eastAsia"/>
        </w:rPr>
        <w:t>各区县、各部门应当积极开展本区县、</w:t>
      </w:r>
      <w:r>
        <w:t>本</w:t>
      </w:r>
      <w:r>
        <w:rPr>
          <w:rFonts w:hint="eastAsia"/>
        </w:rPr>
        <w:t>部门内部控制报告的专题分析、问题整改和成果应用工作，总结经验做法和取得成效，挖掘内部控制在完善单位管理制度、绩效管理、监督问责、干部选拔任用等方面的应用价值，同时针对内部控制报告反映的有关问题，督促各单位及时制定整改措施，进一步完善内部控制体系。</w:t>
      </w:r>
    </w:p>
    <w:p>
      <w:pPr>
        <w:spacing w:line="550" w:lineRule="exact"/>
        <w:ind w:firstLine="641"/>
      </w:pPr>
      <w:r>
        <w:rPr>
          <w:rFonts w:hint="eastAsia" w:eastAsia="方正楷体_GBK"/>
        </w:rPr>
        <w:t>（四）落实保密责任，严守保密规定。</w:t>
      </w:r>
      <w:r>
        <w:rPr>
          <w:rFonts w:hint="eastAsia"/>
        </w:rPr>
        <w:t>各区县、各部门、各单位应当高度重视内部控制报告的安全保密工作。按照“谁产生、谁定密”的原则，由报送主体确定报告内容是否涉及敏感信息或涉密信息。凡通过网络方式报送的内部控制报告，应当按照规定进行脱敏脱密处理；涉及的敏感信息，应当通过单机版软件填报，并通过光盘、纸质等介质离线报送；严禁报送涉密信息。</w:t>
      </w:r>
    </w:p>
    <w:p>
      <w:pPr>
        <w:spacing w:line="550" w:lineRule="exact"/>
        <w:ind w:firstLine="641"/>
        <w:rPr>
          <w:rFonts w:eastAsia="方正黑体_GBK"/>
        </w:rPr>
      </w:pPr>
      <w:r>
        <w:rPr>
          <w:rFonts w:hint="eastAsia" w:eastAsia="方正黑体_GBK"/>
        </w:rPr>
        <w:t>二、编报要求</w:t>
      </w:r>
    </w:p>
    <w:p>
      <w:pPr>
        <w:spacing w:line="550" w:lineRule="exact"/>
        <w:ind w:firstLine="641"/>
      </w:pPr>
      <w:r>
        <w:rPr>
          <w:rFonts w:hint="eastAsia"/>
        </w:rPr>
        <w:t>（一）各区县、各部门、各单位应当在</w:t>
      </w:r>
      <w:r>
        <w:t>5</w:t>
      </w:r>
      <w:r>
        <w:rPr>
          <w:rFonts w:hint="eastAsia"/>
        </w:rPr>
        <w:t>月</w:t>
      </w:r>
      <w:r>
        <w:t>4</w:t>
      </w:r>
      <w:r>
        <w:rPr>
          <w:rFonts w:hint="eastAsia"/>
        </w:rPr>
        <w:t>日</w:t>
      </w:r>
      <w:r>
        <w:t>以后</w:t>
      </w:r>
      <w:r>
        <w:rPr>
          <w:rFonts w:hint="eastAsia"/>
        </w:rPr>
        <w:t>通过财政部统一报表平台（</w:t>
      </w:r>
      <w:r>
        <w:t>https://czyw.czj.cq.gov.cn:9797</w:t>
      </w:r>
      <w:r>
        <w:rPr>
          <w:rFonts w:hint="eastAsia"/>
        </w:rPr>
        <w:t>）或重庆市财政局官网“重庆会计之家”栏目进入“</w:t>
      </w:r>
      <w:r>
        <w:t>2022</w:t>
      </w:r>
      <w:r>
        <w:rPr>
          <w:rFonts w:hint="eastAsia"/>
        </w:rPr>
        <w:t>年度行政事业单位内部控制报告填报系统”开展内部控制报告的编报工作。上年度已</w:t>
      </w:r>
      <w:r>
        <w:t>填报</w:t>
      </w:r>
      <w:r>
        <w:rPr>
          <w:rFonts w:hint="eastAsia"/>
        </w:rPr>
        <w:t>过</w:t>
      </w:r>
      <w:r>
        <w:t>的</w:t>
      </w:r>
      <w:r>
        <w:rPr>
          <w:rFonts w:hint="eastAsia"/>
        </w:rPr>
        <w:t>行政事业单位用户名和密码同上年度，本年度新增的行政事业</w:t>
      </w:r>
      <w:r>
        <w:t>单位用户名</w:t>
      </w:r>
      <w:r>
        <w:rPr>
          <w:rFonts w:hint="eastAsia"/>
        </w:rPr>
        <w:t>和初始</w:t>
      </w:r>
      <w:r>
        <w:t>密码</w:t>
      </w:r>
      <w:r>
        <w:rPr>
          <w:rFonts w:hint="eastAsia"/>
        </w:rPr>
        <w:t>均</w:t>
      </w:r>
      <w:r>
        <w:t>为</w:t>
      </w:r>
      <w:r>
        <w:rPr>
          <w:rFonts w:hint="eastAsia"/>
        </w:rPr>
        <w:t>：统一社会信用代码</w:t>
      </w:r>
      <w:r>
        <w:t>第9</w:t>
      </w:r>
      <w:r>
        <w:rPr>
          <w:rFonts w:hint="eastAsia"/>
        </w:rPr>
        <w:t>到</w:t>
      </w:r>
      <w:r>
        <w:t>17</w:t>
      </w:r>
      <w:r>
        <w:rPr>
          <w:rFonts w:hint="eastAsia"/>
        </w:rPr>
        <w:t>位</w:t>
      </w:r>
      <w:r>
        <w:t>加@NKBG</w:t>
      </w:r>
      <w:r>
        <w:rPr>
          <w:rFonts w:hint="eastAsia"/>
        </w:rPr>
        <w:t>。</w:t>
      </w:r>
    </w:p>
    <w:p>
      <w:pPr>
        <w:spacing w:line="550" w:lineRule="exact"/>
        <w:ind w:firstLine="641"/>
      </w:pPr>
      <w:r>
        <w:rPr>
          <w:rFonts w:hint="eastAsia"/>
        </w:rPr>
        <w:t>（二）各区县、各部门应当于</w:t>
      </w:r>
      <w:r>
        <w:t>6</w:t>
      </w:r>
      <w:r>
        <w:rPr>
          <w:rFonts w:hint="eastAsia"/>
        </w:rPr>
        <w:t>月</w:t>
      </w:r>
      <w:r>
        <w:t>20</w:t>
      </w:r>
      <w:r>
        <w:rPr>
          <w:rFonts w:hint="eastAsia"/>
        </w:rPr>
        <w:t>日前完成本区县</w:t>
      </w:r>
      <w:r>
        <w:t>、</w:t>
      </w:r>
      <w:r>
        <w:rPr>
          <w:rFonts w:hint="eastAsia"/>
        </w:rPr>
        <w:t>本部门所属单位内部控制报告的审核汇总，并在填报系统中上传汇总内部控制报告的可编辑版本及加盖签章的封面扫描件。内部控制报告应当由本部门主要负责人签章，并加盖公章。不需再</w:t>
      </w:r>
      <w:r>
        <w:t>另外</w:t>
      </w:r>
      <w:r>
        <w:rPr>
          <w:rFonts w:hint="eastAsia"/>
        </w:rPr>
        <w:t>报送纸质件</w:t>
      </w:r>
      <w:r>
        <w:t>。</w:t>
      </w:r>
    </w:p>
    <w:p>
      <w:pPr>
        <w:spacing w:line="578" w:lineRule="exact"/>
        <w:ind w:firstLine="640"/>
      </w:pPr>
      <w:r>
        <w:rPr>
          <w:rFonts w:hint="eastAsia"/>
        </w:rPr>
        <w:t>（三）各区县</w:t>
      </w:r>
      <w:r>
        <w:t>、各</w:t>
      </w:r>
      <w:r>
        <w:rPr>
          <w:rFonts w:hint="eastAsia"/>
        </w:rPr>
        <w:t>部门要确保符合条件的行政事业单位“应报尽报”，填报内控报告单位与决算单位数量保持一致。各区县</w:t>
      </w:r>
      <w:r>
        <w:t>、各</w:t>
      </w:r>
      <w:r>
        <w:rPr>
          <w:rFonts w:hint="eastAsia"/>
        </w:rPr>
        <w:t>部门、</w:t>
      </w:r>
      <w:r>
        <w:t>各单位</w:t>
      </w:r>
      <w:r>
        <w:rPr>
          <w:rFonts w:hint="eastAsia"/>
        </w:rPr>
        <w:t>要注意</w:t>
      </w:r>
      <w:r>
        <w:t>制度</w:t>
      </w:r>
      <w:r>
        <w:rPr>
          <w:rFonts w:hint="eastAsia"/>
        </w:rPr>
        <w:t>更新，开展风险评估和内控评价，并按要求上报</w:t>
      </w:r>
      <w:r>
        <w:t>典型案例</w:t>
      </w:r>
      <w:r>
        <w:rPr>
          <w:rFonts w:hint="eastAsia"/>
        </w:rPr>
        <w:t>。</w:t>
      </w:r>
    </w:p>
    <w:p>
      <w:pPr>
        <w:spacing w:line="578" w:lineRule="exact"/>
        <w:ind w:firstLine="640"/>
        <w:rPr>
          <w:rFonts w:eastAsia="方正黑体_GBK"/>
        </w:rPr>
      </w:pPr>
      <w:r>
        <w:rPr>
          <w:rFonts w:hint="eastAsia" w:eastAsia="方正黑体_GBK"/>
        </w:rPr>
        <w:t>三、其他事项</w:t>
      </w:r>
    </w:p>
    <w:p>
      <w:pPr>
        <w:spacing w:line="578" w:lineRule="exact"/>
        <w:ind w:firstLine="640"/>
      </w:pPr>
      <w:r>
        <w:rPr>
          <w:rFonts w:hint="eastAsia" w:eastAsia="方正楷体_GBK"/>
        </w:rPr>
        <w:t>（一）编报资料。</w:t>
      </w:r>
      <w:r>
        <w:rPr>
          <w:rFonts w:hint="eastAsia"/>
        </w:rPr>
        <w:t>各区县、各部门、各单位可从财政部网站会计司频道</w:t>
      </w:r>
      <w:r>
        <w:t>(http://kjs.mof.gov.cn/)</w:t>
      </w:r>
      <w:r>
        <w:rPr>
          <w:rFonts w:hint="eastAsia"/>
        </w:rPr>
        <w:t>“在线服务”栏目中下载查阅内部控制报告填写说明、系统填报操作手册、讲解视频、单机版软件等编报资料。</w:t>
      </w:r>
    </w:p>
    <w:p>
      <w:pPr>
        <w:spacing w:line="578" w:lineRule="exact"/>
        <w:ind w:firstLine="640"/>
      </w:pPr>
      <w:r>
        <w:rPr>
          <w:rFonts w:hint="eastAsia" w:eastAsia="方正楷体_GBK"/>
        </w:rPr>
        <w:t>（二）单机版编报。</w:t>
      </w:r>
      <w:r>
        <w:rPr>
          <w:rFonts w:hint="eastAsia"/>
        </w:rPr>
        <w:t>不宜采用网络方式填报的单位，请在财政部网站会计司频道</w:t>
      </w:r>
      <w:r>
        <w:t>(http://kjs.mof.gov.cn/)</w:t>
      </w:r>
      <w:r>
        <w:rPr>
          <w:rFonts w:hint="eastAsia"/>
        </w:rPr>
        <w:t>“在线服务”栏目下载单机版软件填报。采用单机版报送的单位应当将从单机版填报软件中导出的各单位电子版内部控制报告，以及汇总内部控制报告的可编辑版本及加盖签章的封面扫描件报送重庆市财政局会计处。</w:t>
      </w:r>
    </w:p>
    <w:p>
      <w:pPr>
        <w:spacing w:line="578" w:lineRule="exact"/>
        <w:ind w:firstLine="640"/>
      </w:pPr>
      <w:r>
        <w:rPr>
          <w:rFonts w:hint="eastAsia" w:eastAsia="方正楷体_GBK"/>
        </w:rPr>
        <w:t>（三）总结评价。</w:t>
      </w:r>
      <w:r>
        <w:rPr>
          <w:rFonts w:hint="eastAsia"/>
        </w:rPr>
        <w:t>我局将适时组织内部控制报告编报培训、核查</w:t>
      </w:r>
      <w:r>
        <w:t>、</w:t>
      </w:r>
      <w:r>
        <w:rPr>
          <w:rFonts w:hint="eastAsia"/>
        </w:rPr>
        <w:t>集中会审工作，具体事项另行通知。我局将从组织报送、报告质量、创新应用等三个方面，对市级各部门和各区县</w:t>
      </w:r>
      <w:r>
        <w:t>2022</w:t>
      </w:r>
      <w:r>
        <w:rPr>
          <w:rFonts w:hint="eastAsia"/>
        </w:rPr>
        <w:t>年度内部控制报告编报工作进行绩效目标考核。</w:t>
      </w:r>
    </w:p>
    <w:p>
      <w:pPr>
        <w:spacing w:line="578" w:lineRule="exact"/>
        <w:ind w:firstLine="640"/>
      </w:pPr>
      <w:r>
        <w:rPr>
          <w:rFonts w:hint="eastAsia"/>
        </w:rPr>
        <w:t>联系人：重庆市财政局会计处</w:t>
      </w:r>
      <w:r>
        <w:t xml:space="preserve">    </w:t>
      </w:r>
      <w:r>
        <w:rPr>
          <w:rFonts w:hint="eastAsia"/>
        </w:rPr>
        <w:t>胡可</w:t>
      </w:r>
      <w:r>
        <w:t xml:space="preserve">   67575549</w:t>
      </w:r>
    </w:p>
    <w:p>
      <w:pPr>
        <w:spacing w:line="578" w:lineRule="exact"/>
        <w:ind w:firstLine="640"/>
      </w:pPr>
      <w:r>
        <w:t xml:space="preserve">        </w:t>
      </w:r>
      <w:r>
        <w:rPr>
          <w:rFonts w:hint="eastAsia"/>
        </w:rPr>
        <w:t>填报系统咨询</w:t>
      </w:r>
      <w:r>
        <w:t xml:space="preserve">          </w:t>
      </w:r>
      <w:r>
        <w:rPr>
          <w:rFonts w:hint="eastAsia"/>
        </w:rPr>
        <w:t>王浪</w:t>
      </w:r>
      <w:r>
        <w:t xml:space="preserve">  18623098535</w:t>
      </w:r>
    </w:p>
    <w:p>
      <w:pPr>
        <w:spacing w:line="578" w:lineRule="exact"/>
        <w:ind w:firstLine="640"/>
      </w:pPr>
      <w:r>
        <w:t xml:space="preserve">                              </w:t>
      </w:r>
      <w:r>
        <w:rPr>
          <w:rFonts w:hint="eastAsia"/>
        </w:rPr>
        <w:t>郑念</w:t>
      </w:r>
      <w:r>
        <w:t xml:space="preserve">  15520133096</w:t>
      </w:r>
    </w:p>
    <w:p>
      <w:pPr>
        <w:spacing w:line="578" w:lineRule="exact"/>
        <w:ind w:firstLine="640"/>
      </w:pPr>
      <w:r>
        <w:rPr>
          <w:rFonts w:hint="eastAsia"/>
        </w:rPr>
        <w:t>附件：</w:t>
      </w:r>
      <w:r>
        <w:t>1.2022</w:t>
      </w:r>
      <w:r>
        <w:rPr>
          <w:rFonts w:hint="eastAsia"/>
        </w:rPr>
        <w:t>年度行政事业单位内部控制报告</w:t>
      </w:r>
    </w:p>
    <w:p>
      <w:pPr>
        <w:spacing w:line="578" w:lineRule="exact"/>
        <w:ind w:firstLine="1600" w:firstLineChars="500"/>
      </w:pPr>
      <w:r>
        <w:t>2.2022</w:t>
      </w:r>
      <w:r>
        <w:rPr>
          <w:rFonts w:hint="eastAsia"/>
        </w:rPr>
        <w:t>年度地区（部门）行政事业单位内部控制报告</w:t>
      </w:r>
    </w:p>
    <w:p>
      <w:pPr>
        <w:spacing w:line="578" w:lineRule="exact"/>
        <w:ind w:firstLine="640" w:firstLineChars="200"/>
      </w:pPr>
    </w:p>
    <w:p>
      <w:pPr>
        <w:spacing w:line="578" w:lineRule="exact"/>
      </w:pPr>
    </w:p>
    <w:p>
      <w:pPr>
        <w:spacing w:line="578" w:lineRule="exact"/>
      </w:pPr>
    </w:p>
    <w:p>
      <w:pPr>
        <w:spacing w:line="578" w:lineRule="exact"/>
        <w:ind w:firstLine="5177" w:firstLineChars="1618"/>
      </w:pPr>
      <w:r>
        <w:rPr>
          <w:rFonts w:hint="eastAsia"/>
        </w:rPr>
        <w:t>重庆市财政局</w:t>
      </w:r>
    </w:p>
    <w:p>
      <w:pPr>
        <w:spacing w:line="578" w:lineRule="exact"/>
        <w:ind w:firstLine="4960" w:firstLineChars="1550"/>
      </w:pPr>
      <w:r>
        <w:rPr>
          <w:rFonts w:hint="eastAsia"/>
        </w:rPr>
        <w:t>20</w:t>
      </w:r>
      <w:r>
        <w:t>23</w:t>
      </w:r>
      <w:r>
        <w:rPr>
          <w:rFonts w:hint="eastAsia"/>
        </w:rPr>
        <w:t>年</w:t>
      </w:r>
      <w:r>
        <w:t>5</w:t>
      </w:r>
      <w:r>
        <w:rPr>
          <w:rFonts w:hint="eastAsia"/>
        </w:rPr>
        <w:t>月</w:t>
      </w:r>
      <w:r>
        <w:t>6</w:t>
      </w:r>
      <w:r>
        <w:rPr>
          <w:rFonts w:hint="eastAsia"/>
        </w:rPr>
        <w:t>日</w:t>
      </w:r>
    </w:p>
    <w:p>
      <w:pPr>
        <w:spacing w:line="578" w:lineRule="exact"/>
        <w:ind w:firstLine="640" w:firstLineChars="200"/>
      </w:pPr>
      <w:r>
        <w:rPr>
          <w:rFonts w:hint="eastAsia"/>
        </w:rPr>
        <w:t>（此件主动公开</w:t>
      </w:r>
      <w:r>
        <w:t>）</w:t>
      </w:r>
    </w:p>
    <w:p>
      <w:pPr>
        <w:spacing w:line="578" w:lineRule="exact"/>
      </w:pPr>
    </w:p>
    <w:p>
      <w:pPr>
        <w:spacing w:line="578" w:lineRule="exact"/>
        <w:jc w:val="both"/>
        <w:rPr>
          <w:rFonts w:hint="eastAsia"/>
          <w:lang w:val="en-US" w:eastAsia="zh-CN"/>
        </w:rPr>
      </w:pPr>
    </w:p>
    <w:sectPr>
      <w:headerReference r:id="rId5" w:type="default"/>
      <w:footerReference r:id="rId6" w:type="default"/>
      <w:pgSz w:w="11906" w:h="16838"/>
      <w:pgMar w:top="1962" w:right="1474" w:bottom="1848" w:left="1587" w:header="851" w:footer="992" w:gutter="0"/>
      <w:pgBorders>
        <w:top w:val="none" w:sz="0" w:space="0"/>
        <w:left w:val="none" w:sz="0" w:space="0"/>
        <w:bottom w:val="none" w:sz="0" w:space="0"/>
        <w:right w:val="none" w:sz="0" w:space="0"/>
      </w:pgBorders>
      <w:pgNumType w:fmt="numberInDash"/>
      <w:cols w:space="720" w:num="1"/>
      <w:rtlGutter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auto"/>
    <w:pitch w:val="default"/>
    <w:sig w:usb0="00000001" w:usb1="080E0000" w:usb2="00000000" w:usb3="00000000" w:csb0="00040000" w:csb1="00000000"/>
    <w:embedRegular r:id="rId1" w:fontKey="{B607F747-76FF-4691-8372-070E3B14E756}"/>
  </w:font>
  <w:font w:name="方正小标宋_GBK">
    <w:panose1 w:val="03000509000000000000"/>
    <w:charset w:val="86"/>
    <w:family w:val="script"/>
    <w:pitch w:val="default"/>
    <w:sig w:usb0="00000001" w:usb1="080E0000" w:usb2="00000000" w:usb3="00000000" w:csb0="00040000" w:csb1="00000000"/>
    <w:embedRegular r:id="rId2" w:fontKey="{16573D1A-6F57-4F5C-BC42-89921E889D89}"/>
  </w:font>
  <w:font w:name="楷体">
    <w:panose1 w:val="02010609060101010101"/>
    <w:charset w:val="86"/>
    <w:family w:val="auto"/>
    <w:pitch w:val="default"/>
    <w:sig w:usb0="800002BF" w:usb1="38CF7CFA" w:usb2="00000016" w:usb3="00000000" w:csb0="00040001" w:csb1="00000000"/>
    <w:embedRegular r:id="rId3" w:fontKey="{D4753ACA-7F75-4772-AE34-939BDFBDAD68}"/>
  </w:font>
  <w:font w:name="仿宋">
    <w:panose1 w:val="02010609060101010101"/>
    <w:charset w:val="86"/>
    <w:family w:val="auto"/>
    <w:pitch w:val="default"/>
    <w:sig w:usb0="800002BF" w:usb1="38CF7CFA" w:usb2="00000016" w:usb3="00000000" w:csb0="00040001" w:csb1="00000000"/>
    <w:embedRegular r:id="rId4" w:fontKey="{432558B5-7991-4524-AEA3-83F321CE47F1}"/>
  </w:font>
  <w:font w:name="方正黑体_GBK">
    <w:panose1 w:val="03000509000000000000"/>
    <w:charset w:val="86"/>
    <w:family w:val="script"/>
    <w:pitch w:val="default"/>
    <w:sig w:usb0="00000001" w:usb1="080E0000" w:usb2="00000000" w:usb3="00000000" w:csb0="00040000" w:csb1="00000000"/>
    <w:embedRegular r:id="rId5" w:fontKey="{23C8FB71-4064-491F-A66E-CCD6D001F0A7}"/>
  </w:font>
  <w:font w:name="方正楷体_GBK">
    <w:panose1 w:val="03000509000000000000"/>
    <w:charset w:val="86"/>
    <w:family w:val="script"/>
    <w:pitch w:val="default"/>
    <w:sig w:usb0="00000001" w:usb1="080E0000" w:usb2="00000000" w:usb3="00000000" w:csb0="00040000" w:csb1="00000000"/>
    <w:embedRegular r:id="rId6" w:fontKey="{40A5182D-7B61-4D84-AF7B-BC1321B73F71}"/>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7296"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R89qo3AgAAb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AUfPaqNwIAAG8EAAAOAAAAAAAAAAEAIAAAAB8BAABkcnMvZTJvRG9jLnht&#10;bFBLBQYAAAAABgAGAFkBAADIBQAAAAA=&#10;">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7"/>
      <w:tabs>
        <w:tab w:val="center" w:pos="1480"/>
        <w:tab w:val="clear" w:pos="4153"/>
      </w:tabs>
      <w:wordWrap w:val="0"/>
      <w:ind w:left="2870" w:leftChars="897" w:firstLine="8134" w:firstLineChars="2905"/>
      <w:jc w:val="right"/>
      <w:rPr>
        <w:rFonts w:hint="eastAsia" w:ascii="宋体" w:hAnsi="宋体" w:eastAsia="宋体" w:cs="宋体"/>
        <w:b/>
        <w:bCs/>
        <w:color w:val="005192"/>
        <w:sz w:val="28"/>
        <w:szCs w:val="44"/>
        <w:lang w:val="en-US" w:eastAsia="zh-CN"/>
      </w:rPr>
    </w:pPr>
    <w:r>
      <w:rPr>
        <w:color w:val="FAFAFA"/>
        <w:sz w:val="28"/>
        <w:szCs w:val="28"/>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z&#10;p6XR1AAAAAYBAAAPAAAAAAAAAAEAIAAAACIAAABkcnMvZG93bnJldi54bWxQSwECFAAUAAAACACH&#10;TuJAB6gkL+8BAADDAwAADgAAAAAAAAABACAAAAAjAQAAZHJzL2Uyb0RvYy54bWxQSwUGAAAAAAYA&#10;BgBZAQAAhAUAAAAA&#10;">
              <v:fill on="f" focussize="0,0"/>
              <v:stroke weight="1.75pt" color="#005192" miterlimit="8" joinstyle="miter"/>
              <v:imagedata o:title=""/>
              <o:lock v:ext="edit" aspectratio="f"/>
            </v:line>
          </w:pict>
        </mc:Fallback>
      </mc:AlternateContent>
    </w:r>
    <w:r>
      <w:rPr>
        <w:rFonts w:hint="eastAsia"/>
        <w:color w:val="FAFAFA"/>
        <w:sz w:val="28"/>
        <w:szCs w:val="28"/>
        <w:lang w:val="en-US" w:eastAsia="zh-CN"/>
      </w:rPr>
      <w:t xml:space="preserve"> </w:t>
    </w:r>
    <w:r>
      <w:rPr>
        <w:rFonts w:hint="eastAsia" w:ascii="宋体" w:hAnsi="宋体" w:eastAsia="宋体" w:cs="宋体"/>
        <w:b/>
        <w:bCs/>
        <w:color w:val="005192"/>
        <w:sz w:val="28"/>
        <w:szCs w:val="44"/>
        <w:lang w:eastAsia="zh-CN"/>
      </w:rPr>
      <w:t>重庆市财政局发布</w:t>
    </w:r>
    <w:r>
      <w:rPr>
        <w:rFonts w:hint="eastAsia" w:ascii="宋体" w:hAnsi="宋体" w:eastAsia="宋体" w:cs="宋体"/>
        <w:b/>
        <w:bCs/>
        <w:color w:val="005192"/>
        <w:sz w:val="28"/>
        <w:szCs w:val="44"/>
        <w:lang w:val="en-US" w:eastAsia="zh-CN"/>
      </w:rPr>
      <w:t xml:space="preserve">     </w:t>
    </w:r>
  </w:p>
  <w:p>
    <w:pPr>
      <w:pStyle w:val="7"/>
      <w:wordWrap/>
      <w:spacing w:line="240" w:lineRule="auto"/>
      <w:ind w:left="5770" w:leftChars="1803" w:firstLine="6499" w:firstLineChars="2312"/>
      <w:jc w:val="left"/>
      <w:rPr>
        <w:rFonts w:hint="eastAsia" w:ascii="宋体" w:hAnsi="宋体" w:eastAsia="宋体" w:cs="宋体"/>
        <w:b/>
        <w:bCs/>
        <w:color w:val="005192"/>
        <w:sz w:val="28"/>
        <w:szCs w:val="28"/>
        <w:lang w:val="en-US" w:eastAsia="zh-CN"/>
      </w:rPr>
    </w:pPr>
  </w:p>
  <w:p>
    <w:pPr>
      <w:pStyle w:val="7"/>
      <w:wordWrap w:val="0"/>
      <w:ind w:left="7296" w:leftChars="2280" w:firstLine="5622" w:firstLineChars="2000"/>
      <w:jc w:val="right"/>
      <w:rPr>
        <w:rFonts w:hint="eastAsia" w:ascii="宋体" w:hAnsi="宋体" w:eastAsia="宋体" w:cs="宋体"/>
        <w:b/>
        <w:bCs/>
        <w:color w:val="005192"/>
        <w:sz w:val="28"/>
        <w:szCs w:val="44"/>
        <w:lang w:val="en-US" w:eastAsia="zh-C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sz w:val="32"/>
        <w:lang w:val="en-US" w:eastAsia="zh-CN"/>
      </w:rPr>
    </w:pPr>
    <w:r>
      <w:rPr>
        <w:rFonts w:hint="eastAsia" w:ascii="方正仿宋_GBK" w:hAnsi="方正仿宋_GBK" w:eastAsia="方正仿宋_GBK" w:cs="方正仿宋_GBK"/>
        <w:b/>
        <w:bCs/>
        <w:color w:val="000000"/>
        <w:sz w:val="3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0795" r="18415" b="17780"/>
              <wp:wrapNone/>
              <wp:docPr id="1" name="直接连接符 4"/>
              <wp:cNvGraphicFramePr/>
              <a:graphic xmlns:a="http://schemas.openxmlformats.org/drawingml/2006/main">
                <a:graphicData uri="http://schemas.microsoft.com/office/word/2010/wordprocessingShape">
                  <wps:wsp>
                    <wps:cNvCnPr/>
                    <wps:spPr>
                      <a:xfrm>
                        <a:off x="0" y="0"/>
                        <a:ext cx="5620385" cy="0"/>
                      </a:xfrm>
                      <a:prstGeom prst="line">
                        <a:avLst/>
                      </a:prstGeom>
                      <a:ln w="22225" cap="flat" cmpd="sng">
                        <a:solidFill>
                          <a:srgbClr val="0070C0"/>
                        </a:solidFill>
                        <a:prstDash val="solid"/>
                        <a:miter/>
                        <a:headEnd type="none" w="med" len="med"/>
                        <a:tailEnd type="none" w="med" len="med"/>
                      </a:ln>
                    </wps:spPr>
                    <wps:bodyPr/>
                  </wps:wsp>
                </a:graphicData>
              </a:graphic>
            </wp:anchor>
          </w:drawing>
        </mc:Choice>
        <mc:Fallback>
          <w:pict>
            <v:line id="直接连接符 4" o:spid="_x0000_s1026" o:spt="20" style="position:absolute;left:0pt;margin-left:0pt;margin-top:54.35pt;height:0pt;width:442.55pt;z-index:251659264;mso-width-relative:page;mso-height-relative:page;" filled="f" stroked="t" coordsize="21600,21600" o:gfxdata="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PHthVdIAAAAIAQAADwAAAAAAAAABACAAAAAiAAAAZHJzL2Rvd25yZXYueG1sUEsBAhQAFAAAAAgA&#10;h07iQOem2VvyAQAA4wMAAA4AAAAAAAAAAQAgAAAAIQEAAGRycy9lMm9Eb2MueG1sUEsFBgAAAAAG&#10;AAYAWQEAAIUFAAAAAA==&#10;">
              <v:fill on="f" focussize="0,0"/>
              <v:stroke weight="1.75pt" color="#0070C0" joinstyle="miter"/>
              <v:imagedata o:title=""/>
              <o:lock v:ext="edit" aspectratio="f"/>
            </v:line>
          </w:pict>
        </mc:Fallback>
      </mc:AlternateContent>
    </w:r>
  </w:p>
  <w:p>
    <w:pPr>
      <w:pStyle w:val="7"/>
      <w:keepNext w:val="0"/>
      <w:keepLines w:val="0"/>
      <w:pageBreakBefore w:val="0"/>
      <w:widowControl w:val="0"/>
      <w:kinsoku/>
      <w:wordWrap/>
      <w:overflowPunct/>
      <w:topLinePunct w:val="0"/>
      <w:autoSpaceDE/>
      <w:autoSpaceDN/>
      <w:bidi w:val="0"/>
      <w:adjustRightInd/>
      <w:snapToGrid w:val="0"/>
      <w:jc w:val="left"/>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5240" b="15240"/>
          <wp:docPr id="2"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6" descr="国徽1024"/>
                  <pic:cNvPicPr>
                    <a:picLocks noChangeAspect="1"/>
                  </pic:cNvPicPr>
                </pic:nvPicPr>
                <pic:blipFill>
                  <a:blip r:embed="rId1"/>
                  <a:stretch>
                    <a:fillRect/>
                  </a:stretch>
                </pic:blipFill>
                <pic:spPr>
                  <a:xfrm>
                    <a:off x="0" y="0"/>
                    <a:ext cx="308610" cy="308610"/>
                  </a:xfrm>
                  <a:prstGeom prst="rect">
                    <a:avLst/>
                  </a:prstGeom>
                  <a:noFill/>
                  <a:ln>
                    <a:noFill/>
                  </a:ln>
                </pic:spPr>
              </pic:pic>
            </a:graphicData>
          </a:graphic>
        </wp:inline>
      </w:drawing>
    </w:r>
    <w:r>
      <w:rPr>
        <w:rFonts w:hint="eastAsia" w:ascii="宋体" w:hAnsi="宋体" w:eastAsia="宋体" w:cs="宋体"/>
        <w:b/>
        <w:bCs/>
        <w:color w:val="005192"/>
        <w:sz w:val="32"/>
        <w:lang w:val="en-US" w:eastAsia="zh-Hans"/>
      </w:rPr>
      <w:t>重庆市</w:t>
    </w:r>
    <w:r>
      <w:rPr>
        <w:rFonts w:hint="eastAsia" w:ascii="宋体" w:hAnsi="宋体" w:eastAsia="宋体" w:cs="宋体"/>
        <w:b/>
        <w:bCs/>
        <w:color w:val="005192"/>
        <w:sz w:val="32"/>
        <w:lang w:val="en-US" w:eastAsia="zh-CN"/>
      </w:rPr>
      <w:t>财政局</w:t>
    </w:r>
    <w:r>
      <w:rPr>
        <w:rFonts w:hint="eastAsia" w:ascii="宋体" w:hAnsi="宋体" w:eastAsia="宋体" w:cs="宋体"/>
        <w:b/>
        <w:bCs/>
        <w:color w:val="005192"/>
        <w:sz w:val="32"/>
        <w:szCs w:val="32"/>
        <w:lang w:val="en-US" w:eastAsia="zh-Hans"/>
      </w:rPr>
      <w:t>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g4MjdmYzZiMDhiNDZlOTU5NWQ4YWI5ODhjYmFjZjAifQ=="/>
  </w:docVars>
  <w:rsids>
    <w:rsidRoot w:val="00172A27"/>
    <w:rsid w:val="019E71BD"/>
    <w:rsid w:val="041C42DA"/>
    <w:rsid w:val="04B679C3"/>
    <w:rsid w:val="05F07036"/>
    <w:rsid w:val="064E7294"/>
    <w:rsid w:val="06E00104"/>
    <w:rsid w:val="080F63D8"/>
    <w:rsid w:val="09341458"/>
    <w:rsid w:val="098254C2"/>
    <w:rsid w:val="0A766EDE"/>
    <w:rsid w:val="0AD64BE8"/>
    <w:rsid w:val="0B0912D7"/>
    <w:rsid w:val="0C425FB0"/>
    <w:rsid w:val="0E025194"/>
    <w:rsid w:val="0F303700"/>
    <w:rsid w:val="152D2DCA"/>
    <w:rsid w:val="15D5325E"/>
    <w:rsid w:val="187168EA"/>
    <w:rsid w:val="196673CA"/>
    <w:rsid w:val="1B2F4AEE"/>
    <w:rsid w:val="1C3B5737"/>
    <w:rsid w:val="1CF734C9"/>
    <w:rsid w:val="1D5561CE"/>
    <w:rsid w:val="1D9F26E5"/>
    <w:rsid w:val="1DEC284C"/>
    <w:rsid w:val="1E4142AB"/>
    <w:rsid w:val="1E6523AC"/>
    <w:rsid w:val="22440422"/>
    <w:rsid w:val="22BB4BBB"/>
    <w:rsid w:val="254A5A20"/>
    <w:rsid w:val="25DE7970"/>
    <w:rsid w:val="29590EED"/>
    <w:rsid w:val="2AEB3417"/>
    <w:rsid w:val="2D502E74"/>
    <w:rsid w:val="31A15F24"/>
    <w:rsid w:val="324A1681"/>
    <w:rsid w:val="36FB1DF0"/>
    <w:rsid w:val="395347B5"/>
    <w:rsid w:val="39A232A0"/>
    <w:rsid w:val="39E745AA"/>
    <w:rsid w:val="3B2C087E"/>
    <w:rsid w:val="3B5A6BBB"/>
    <w:rsid w:val="3E2E249C"/>
    <w:rsid w:val="3ED70B09"/>
    <w:rsid w:val="3EDA13A6"/>
    <w:rsid w:val="4018096F"/>
    <w:rsid w:val="417B75E9"/>
    <w:rsid w:val="42F058B7"/>
    <w:rsid w:val="42F334A6"/>
    <w:rsid w:val="436109F6"/>
    <w:rsid w:val="441A38D4"/>
    <w:rsid w:val="4504239D"/>
    <w:rsid w:val="450B05EB"/>
    <w:rsid w:val="49BA174B"/>
    <w:rsid w:val="4BC77339"/>
    <w:rsid w:val="4C9236C5"/>
    <w:rsid w:val="4E250A85"/>
    <w:rsid w:val="4FFD4925"/>
    <w:rsid w:val="505C172E"/>
    <w:rsid w:val="506405EA"/>
    <w:rsid w:val="50827473"/>
    <w:rsid w:val="52443849"/>
    <w:rsid w:val="52511493"/>
    <w:rsid w:val="52F46F0B"/>
    <w:rsid w:val="532B6A10"/>
    <w:rsid w:val="537768AC"/>
    <w:rsid w:val="53D8014D"/>
    <w:rsid w:val="55003B4B"/>
    <w:rsid w:val="55E064E0"/>
    <w:rsid w:val="5631076B"/>
    <w:rsid w:val="572C6D10"/>
    <w:rsid w:val="5DC34279"/>
    <w:rsid w:val="5F05475E"/>
    <w:rsid w:val="5FCD688E"/>
    <w:rsid w:val="5FF9BDAA"/>
    <w:rsid w:val="5FFE5333"/>
    <w:rsid w:val="603161C9"/>
    <w:rsid w:val="608816D1"/>
    <w:rsid w:val="60EF4E7F"/>
    <w:rsid w:val="648B0A32"/>
    <w:rsid w:val="665233C1"/>
    <w:rsid w:val="69AC0D42"/>
    <w:rsid w:val="6AD9688B"/>
    <w:rsid w:val="6D0E3F22"/>
    <w:rsid w:val="6D504A40"/>
    <w:rsid w:val="70746040"/>
    <w:rsid w:val="744E4660"/>
    <w:rsid w:val="753355A2"/>
    <w:rsid w:val="759F1C61"/>
    <w:rsid w:val="769F2DE8"/>
    <w:rsid w:val="76FDEB7C"/>
    <w:rsid w:val="79C65162"/>
    <w:rsid w:val="7C41577F"/>
    <w:rsid w:val="7C9011D9"/>
    <w:rsid w:val="7DC651C5"/>
    <w:rsid w:val="7DF350ED"/>
    <w:rsid w:val="7EF87D63"/>
    <w:rsid w:val="7F407923"/>
    <w:rsid w:val="7F9DA0E8"/>
    <w:rsid w:val="7FCC2834"/>
    <w:rsid w:val="7FF6A4EF"/>
    <w:rsid w:val="92DD1CEF"/>
    <w:rsid w:val="F05B4F69"/>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spacing w:line="312" w:lineRule="atLeast"/>
      <w:jc w:val="both"/>
      <w:textAlignment w:val="baseline"/>
    </w:pPr>
    <w:rPr>
      <w:rFonts w:ascii="Times New Roman" w:hAnsi="Times New Roman" w:eastAsia="方正仿宋_GBK" w:cs="Times New Roman"/>
      <w:sz w:val="32"/>
      <w:szCs w:val="32"/>
      <w:lang w:val="en-US" w:eastAsia="zh-CN" w:bidi="ar-SA"/>
    </w:rPr>
  </w:style>
  <w:style w:type="paragraph" w:styleId="4">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0">
    <w:name w:val="Default Paragraph Font"/>
    <w:link w:val="11"/>
    <w:semiHidden/>
    <w:qFormat/>
    <w:uiPriority w:val="0"/>
    <w:rPr>
      <w:rFonts w:ascii="Calibri" w:hAnsi="Calibri"/>
      <w:szCs w:val="24"/>
    </w:rPr>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spacing w:afterLines="0" w:afterAutospacing="0"/>
    </w:pPr>
  </w:style>
  <w:style w:type="paragraph" w:styleId="3">
    <w:name w:val="Body Text First Indent"/>
    <w:basedOn w:val="2"/>
    <w:qFormat/>
    <w:uiPriority w:val="0"/>
    <w:pPr>
      <w:spacing w:after="160"/>
      <w:ind w:firstLine="420" w:firstLineChars="100"/>
    </w:pPr>
  </w:style>
  <w:style w:type="paragraph" w:styleId="5">
    <w:name w:val="annotation text"/>
    <w:basedOn w:val="1"/>
    <w:qFormat/>
    <w:uiPriority w:val="0"/>
    <w:pPr>
      <w:jc w:val="left"/>
    </w:p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next w:val="6"/>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right"/>
      <w:outlineLvl w:val="9"/>
    </w:pPr>
    <w:rPr>
      <w:sz w:val="28"/>
    </w:rPr>
  </w:style>
  <w:style w:type="paragraph" w:styleId="8">
    <w:name w:val="Normal (Web)"/>
    <w:basedOn w:val="1"/>
    <w:qFormat/>
    <w:uiPriority w:val="0"/>
    <w:pPr>
      <w:spacing w:before="100" w:beforeAutospacing="1" w:after="100" w:afterAutospacing="1"/>
      <w:ind w:left="0" w:right="0"/>
      <w:jc w:val="left"/>
    </w:pPr>
    <w:rPr>
      <w:kern w:val="0"/>
      <w:sz w:val="24"/>
      <w:lang w:val="en-US" w:eastAsia="zh-CN" w:bidi="ar"/>
    </w:rPr>
  </w:style>
  <w:style w:type="paragraph" w:customStyle="1" w:styleId="11">
    <w:name w:val="默认段落字体 Para Char Char Char Char Char Char Char Char Char Char Char Char"/>
    <w:basedOn w:val="1"/>
    <w:link w:val="10"/>
    <w:qFormat/>
    <w:uiPriority w:val="0"/>
    <w:pPr>
      <w:tabs>
        <w:tab w:val="right" w:pos="-2120"/>
      </w:tabs>
      <w:snapToGrid w:val="0"/>
    </w:pPr>
    <w:rPr>
      <w:rFonts w:ascii="Calibri" w:hAnsi="Calibri"/>
      <w:szCs w:val="24"/>
    </w:rPr>
  </w:style>
  <w:style w:type="character" w:styleId="12">
    <w:name w:val="Strong"/>
    <w:basedOn w:val="10"/>
    <w:qFormat/>
    <w:uiPriority w:val="0"/>
    <w:rPr>
      <w:b/>
      <w:bCs/>
    </w:rPr>
  </w:style>
  <w:style w:type="character" w:styleId="13">
    <w:name w:val="page number"/>
    <w:basedOn w:val="10"/>
    <w:uiPriority w:val="0"/>
  </w:style>
  <w:style w:type="paragraph" w:customStyle="1" w:styleId="14">
    <w:name w:val="Normal (Web)"/>
    <w:basedOn w:val="1"/>
    <w:qFormat/>
    <w:uiPriority w:val="0"/>
    <w:pPr>
      <w:jc w:val="left"/>
    </w:pPr>
    <w:rPr>
      <w:rFonts w:ascii="Calibri" w:hAnsi="Calibri"/>
      <w:kern w:val="0"/>
      <w:sz w:val="24"/>
      <w:szCs w:val="24"/>
    </w:rPr>
  </w:style>
  <w:style w:type="paragraph" w:customStyle="1" w:styleId="15">
    <w:name w:val="p0"/>
    <w:basedOn w:val="1"/>
    <w:qFormat/>
    <w:uiPriority w:val="0"/>
    <w:pPr>
      <w:widowControl/>
    </w:pPr>
    <w:rPr>
      <w:rFonts w:ascii="Calibri" w:hAnsi="Calibri" w:eastAsia="宋体" w:cs="宋体"/>
      <w:kern w:val="0"/>
      <w:szCs w:val="3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988</Words>
  <Characters>1015</Characters>
  <Lines>1</Lines>
  <Paragraphs>1</Paragraphs>
  <TotalTime>1</TotalTime>
  <ScaleCrop>false</ScaleCrop>
  <LinksUpToDate>false</LinksUpToDate>
  <CharactersWithSpaces>1015</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昌旭</cp:lastModifiedBy>
  <cp:lastPrinted>2022-05-12T00:46:00Z</cp:lastPrinted>
  <dcterms:modified xsi:type="dcterms:W3CDTF">2023-06-01T06:18:50Z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49C9E9E0B95A4AC09843F0DF563875C3</vt:lpwstr>
  </property>
</Properties>
</file>