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2"/>
          <w:szCs w:val="32"/>
          <w:lang w:val="en-US" w:eastAsia="zh-CN"/>
        </w:rPr>
      </w:pPr>
    </w:p>
    <w:p>
      <w:pPr>
        <w:keepNext w:val="0"/>
        <w:keepLines w:val="0"/>
        <w:pageBreakBefore w:val="0"/>
        <w:kinsoku/>
        <w:wordWrap/>
        <w:overflowPunct/>
        <w:topLinePunct w:val="0"/>
        <w:autoSpaceDE/>
        <w:autoSpaceDN/>
        <w:bidi w:val="0"/>
        <w:snapToGrid/>
        <w:spacing w:line="600" w:lineRule="exact"/>
        <w:jc w:val="both"/>
        <w:rPr>
          <w:rFonts w:hint="eastAsia" w:ascii="宋体" w:hAnsi="宋体" w:eastAsia="宋体" w:cs="宋体"/>
          <w:sz w:val="32"/>
          <w:szCs w:val="32"/>
          <w:lang w:val="en-US" w:eastAsia="zh-CN"/>
        </w:rPr>
      </w:pPr>
    </w:p>
    <w:p>
      <w:pPr>
        <w:spacing w:line="578" w:lineRule="exact"/>
        <w:jc w:val="center"/>
        <w:rPr>
          <w:rFonts w:eastAsia="方正小标宋_GBK"/>
          <w:sz w:val="44"/>
          <w:szCs w:val="44"/>
        </w:rPr>
      </w:pPr>
      <w:r>
        <w:rPr>
          <w:rFonts w:hint="eastAsia" w:eastAsia="方正小标宋_GBK"/>
          <w:sz w:val="44"/>
          <w:szCs w:val="44"/>
        </w:rPr>
        <w:t>重庆市财政局关于转发</w:t>
      </w:r>
    </w:p>
    <w:p>
      <w:pPr>
        <w:spacing w:line="578" w:lineRule="exact"/>
        <w:jc w:val="center"/>
        <w:rPr>
          <w:rFonts w:eastAsia="方正小标宋_GBK"/>
          <w:sz w:val="44"/>
          <w:szCs w:val="44"/>
        </w:rPr>
      </w:pPr>
      <w:r>
        <w:rPr>
          <w:rFonts w:hint="eastAsia" w:eastAsia="方正小标宋_GBK"/>
          <w:sz w:val="44"/>
          <w:szCs w:val="44"/>
        </w:rPr>
        <w:t>《财政部关于做好2023年政府购买服务改革</w:t>
      </w:r>
    </w:p>
    <w:p>
      <w:pPr>
        <w:spacing w:line="578" w:lineRule="exact"/>
        <w:jc w:val="center"/>
        <w:rPr>
          <w:rFonts w:hint="eastAsia" w:eastAsia="方正小标宋_GBK"/>
          <w:sz w:val="44"/>
          <w:szCs w:val="44"/>
        </w:rPr>
      </w:pPr>
      <w:r>
        <w:rPr>
          <w:rFonts w:hint="eastAsia" w:eastAsia="方正小标宋_GBK"/>
          <w:sz w:val="44"/>
          <w:szCs w:val="44"/>
        </w:rPr>
        <w:t>重点工作的通知》的通知</w:t>
      </w:r>
    </w:p>
    <w:p>
      <w:pPr>
        <w:spacing w:line="578" w:lineRule="exact"/>
        <w:jc w:val="center"/>
        <w:rPr>
          <w:rFonts w:hint="eastAsia" w:ascii="楷体" w:hAnsi="楷体" w:eastAsia="楷体" w:cs="楷体"/>
          <w:kern w:val="0"/>
          <w:sz w:val="32"/>
          <w:szCs w:val="32"/>
          <w:lang w:val="en-US" w:eastAsia="zh-CN" w:bidi="ar-SA"/>
        </w:rPr>
      </w:pPr>
      <w:bookmarkStart w:id="0" w:name="_GoBack"/>
      <w:r>
        <w:rPr>
          <w:rFonts w:hint="eastAsia" w:ascii="楷体" w:hAnsi="楷体" w:eastAsia="楷体" w:cs="楷体"/>
          <w:kern w:val="0"/>
          <w:sz w:val="32"/>
          <w:szCs w:val="32"/>
          <w:lang w:val="en-US" w:eastAsia="zh-CN" w:bidi="ar-SA"/>
        </w:rPr>
        <w:t>渝财综〔2023〕11号</w:t>
      </w:r>
    </w:p>
    <w:bookmarkEnd w:id="0"/>
    <w:p>
      <w:pPr>
        <w:spacing w:line="578" w:lineRule="exact"/>
      </w:pPr>
    </w:p>
    <w:p>
      <w:pPr>
        <w:spacing w:line="578" w:lineRule="exact"/>
        <w:rPr>
          <w:rFonts w:hint="eastAsia"/>
        </w:rPr>
      </w:pPr>
      <w:r>
        <w:rPr>
          <w:rFonts w:hint="eastAsia"/>
        </w:rPr>
        <w:t>各区县（自治县）财政局，两江新区、西部科学城重庆高新区、万盛经开区财政局：</w:t>
      </w:r>
    </w:p>
    <w:p>
      <w:pPr>
        <w:spacing w:line="578" w:lineRule="exact"/>
        <w:ind w:firstLine="640" w:firstLineChars="200"/>
        <w:rPr>
          <w:rFonts w:hint="eastAsia"/>
        </w:rPr>
      </w:pPr>
      <w:r>
        <w:rPr>
          <w:rFonts w:hint="eastAsia"/>
        </w:rPr>
        <w:t>党中央、国务院部署政府购买服务改革以来，我市改革工作在市委、市政府的坚强领导下，进一步放开公共服务市场准入，创新公共服务提供和财政支出方式，通过建立健全政府购买服务指导性目录并向社会公开、不断优化政府购买服务的预算编制执行和支出方式、积极探索开展第三方绩效评价、推动政府向公益二类事业单位购买服务、支持社会组织承接政府购买服务等，政府购买服务范围不断扩大，基本公共服务质量和财政资金使用效益不断提高，有力地推动了事业单位改革和政府职能转变。</w:t>
      </w:r>
    </w:p>
    <w:p>
      <w:pPr>
        <w:spacing w:line="578" w:lineRule="exact"/>
        <w:ind w:firstLine="640" w:firstLineChars="200"/>
        <w:rPr>
          <w:rFonts w:hint="eastAsia"/>
        </w:rPr>
      </w:pPr>
      <w:r>
        <w:rPr>
          <w:rFonts w:hint="eastAsia"/>
        </w:rPr>
        <w:t>为持续深入推进相关工作，现将《财政部关于做好2023年政府购买服务改革重点工作的通知》（财综〔2023〕12号）转发给你们，并就做好2023年有关事项通知如下：</w:t>
      </w:r>
    </w:p>
    <w:p>
      <w:pPr>
        <w:spacing w:line="578" w:lineRule="exact"/>
        <w:ind w:firstLine="640" w:firstLineChars="200"/>
        <w:rPr>
          <w:rFonts w:hint="eastAsia"/>
        </w:rPr>
      </w:pPr>
      <w:r>
        <w:rPr>
          <w:rFonts w:hint="eastAsia"/>
        </w:rPr>
        <w:t>一、高度重视，认真学习。各区县要充分认识政府购买服务改革在全面深化改革中的重要性，认真组织学习并宣传贯彻实施财政部文件精神，指导本区县部门规范实施政府购买服务改革，深入推动改革工作。</w:t>
      </w:r>
    </w:p>
    <w:p>
      <w:pPr>
        <w:spacing w:line="578" w:lineRule="exact"/>
        <w:ind w:firstLine="640" w:firstLineChars="200"/>
        <w:rPr>
          <w:rFonts w:hint="eastAsia"/>
        </w:rPr>
      </w:pPr>
      <w:r>
        <w:rPr>
          <w:rFonts w:hint="eastAsia"/>
        </w:rPr>
        <w:t>二、深化改革，加强引导。各区县要持续推进就业、医疗卫生、社区社会保障、生态环境治理、乡村振兴等领域政府购买服务改革，引导社会力量扩大普惠性非基本公共服务多元供给。各区县应结合实际情况，继续选择符合条件的公益二类事业单位开展购买服务。引导市场主体积极提供各类专业公共服务，激发市场主体活力。</w:t>
      </w:r>
    </w:p>
    <w:p>
      <w:pPr>
        <w:spacing w:line="578" w:lineRule="exact"/>
        <w:ind w:firstLine="640" w:firstLineChars="200"/>
        <w:rPr>
          <w:rFonts w:hint="eastAsia"/>
        </w:rPr>
      </w:pPr>
      <w:r>
        <w:rPr>
          <w:rFonts w:hint="eastAsia"/>
        </w:rPr>
        <w:t>三、规范管理，防范风险。各区县要加强预算绩效管理，积极开展绩效评价，切实提高财政资金效益；加强合同履约监督，建立负面清单，切实增强风险防范意识；完善信息报送，结合预算一体化实现对政府购买服务支出数据的及时采集汇集，定期梳理政府购买服务改革工作进展及成效，分析改革工作存在的困难和问题，提出改革工作建议。</w:t>
      </w:r>
    </w:p>
    <w:p>
      <w:pPr>
        <w:spacing w:line="578" w:lineRule="exact"/>
        <w:ind w:firstLine="640" w:firstLineChars="200"/>
        <w:rPr>
          <w:rFonts w:hint="eastAsia"/>
        </w:rPr>
      </w:pPr>
      <w:r>
        <w:rPr>
          <w:rFonts w:hint="eastAsia"/>
        </w:rPr>
        <w:t>四、积极探索，树立典型。按照《财政部办公厅关于继续实施政府购买服务改革工作联系点制度的通知》财办综﹝2021﹞1号，我市綦江区、潼南区为财政部实施政府购买服务改革工作联系点。两个联系点应梳理完善区本级政府购买服务指导性目录，探索出台标准化政府购买服务合同，积极开展政府购买服务绩效评价并细化完善评价指标体系，确保本区政府购买服务改革工作取得实效，促进本区经济社会发展。</w:t>
      </w:r>
    </w:p>
    <w:p>
      <w:pPr>
        <w:spacing w:line="578" w:lineRule="exact"/>
        <w:ind w:firstLine="640" w:firstLineChars="200"/>
        <w:rPr>
          <w:rFonts w:hint="eastAsia"/>
        </w:rPr>
      </w:pPr>
    </w:p>
    <w:p>
      <w:pPr>
        <w:spacing w:line="578" w:lineRule="exact"/>
        <w:ind w:firstLine="640" w:firstLineChars="200"/>
      </w:pPr>
      <w:r>
        <w:rPr>
          <w:rFonts w:hint="eastAsia"/>
        </w:rPr>
        <w:t>附件：财政部关于做好2023年政府购买服务改革重点工作</w:t>
      </w:r>
    </w:p>
    <w:p>
      <w:pPr>
        <w:spacing w:line="578" w:lineRule="exact"/>
        <w:ind w:firstLine="1600" w:firstLineChars="500"/>
        <w:rPr>
          <w:rFonts w:hint="eastAsia"/>
        </w:rPr>
      </w:pPr>
      <w:r>
        <w:rPr>
          <w:rFonts w:hint="eastAsia"/>
        </w:rPr>
        <w:t>的通知</w:t>
      </w:r>
    </w:p>
    <w:p>
      <w:pPr>
        <w:spacing w:line="578" w:lineRule="exact"/>
        <w:ind w:firstLine="640" w:firstLineChars="200"/>
      </w:pPr>
    </w:p>
    <w:p>
      <w:pPr>
        <w:spacing w:line="578" w:lineRule="exact"/>
      </w:pPr>
    </w:p>
    <w:p>
      <w:pPr>
        <w:spacing w:line="578" w:lineRule="exact"/>
      </w:pPr>
    </w:p>
    <w:p>
      <w:pPr>
        <w:spacing w:line="578" w:lineRule="exact"/>
        <w:ind w:firstLine="5177" w:firstLineChars="1618"/>
      </w:pPr>
      <w:r>
        <w:rPr>
          <w:rFonts w:hint="eastAsia"/>
        </w:rPr>
        <w:t>重庆市财政局</w:t>
      </w:r>
    </w:p>
    <w:p>
      <w:pPr>
        <w:spacing w:line="578" w:lineRule="exact"/>
        <w:ind w:firstLine="4960" w:firstLineChars="1550"/>
      </w:pPr>
      <w:r>
        <w:rPr>
          <w:rFonts w:hint="eastAsia"/>
        </w:rPr>
        <w:t>20</w:t>
      </w:r>
      <w:r>
        <w:t>23</w:t>
      </w:r>
      <w:r>
        <w:rPr>
          <w:rFonts w:hint="eastAsia"/>
        </w:rPr>
        <w:t>年</w:t>
      </w:r>
      <w:r>
        <w:t>5</w:t>
      </w:r>
      <w:r>
        <w:rPr>
          <w:rFonts w:hint="eastAsia"/>
        </w:rPr>
        <w:t>月</w:t>
      </w:r>
      <w:r>
        <w:t>10</w:t>
      </w:r>
      <w:r>
        <w:rPr>
          <w:rFonts w:hint="eastAsia"/>
        </w:rPr>
        <w:t>日</w:t>
      </w:r>
    </w:p>
    <w:p>
      <w:pPr>
        <w:spacing w:line="578" w:lineRule="exact"/>
        <w:ind w:firstLine="640" w:firstLineChars="200"/>
      </w:pPr>
      <w:r>
        <w:rPr>
          <w:rFonts w:hint="eastAsia"/>
        </w:rPr>
        <w:t>（此件主动公开</w:t>
      </w:r>
      <w:r>
        <w:t>）</w:t>
      </w:r>
    </w:p>
    <w:p>
      <w:pPr>
        <w:spacing w:line="578" w:lineRule="exact"/>
      </w:pPr>
    </w:p>
    <w:p>
      <w:pPr>
        <w:spacing w:line="578" w:lineRule="exact"/>
        <w:jc w:val="both"/>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3B31485C-6E4B-4C43-AB67-4E51C5CF4AA3}"/>
  </w:font>
  <w:font w:name="方正小标宋_GBK">
    <w:panose1 w:val="03000509000000000000"/>
    <w:charset w:val="86"/>
    <w:family w:val="script"/>
    <w:pitch w:val="default"/>
    <w:sig w:usb0="00000001" w:usb1="080E0000" w:usb2="00000000" w:usb3="00000000" w:csb0="00040000" w:csb1="00000000"/>
    <w:embedRegular r:id="rId2" w:fontKey="{1BBD30AE-C493-4D32-9C0D-FFD745D576B1}"/>
  </w:font>
  <w:font w:name="楷体">
    <w:panose1 w:val="02010609060101010101"/>
    <w:charset w:val="86"/>
    <w:family w:val="auto"/>
    <w:pitch w:val="default"/>
    <w:sig w:usb0="800002BF" w:usb1="38CF7CFA" w:usb2="00000016" w:usb3="00000000" w:csb0="00040001" w:csb1="00000000"/>
    <w:embedRegular r:id="rId3" w:fontKey="{CAC0CE30-7677-4928-BD84-CC1C87787C5A}"/>
  </w:font>
  <w:font w:name="仿宋">
    <w:panose1 w:val="02010609060101010101"/>
    <w:charset w:val="86"/>
    <w:family w:val="auto"/>
    <w:pitch w:val="default"/>
    <w:sig w:usb0="800002BF" w:usb1="38CF7CFA" w:usb2="00000016" w:usb3="00000000" w:csb0="00040001" w:csb1="00000000"/>
    <w:embedRegular r:id="rId4" w:fontKey="{7AA04AFA-D1EF-4E68-A4D5-9925B4BEE4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重庆市财政局发布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财政局</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2D727A4"/>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link w:val="11"/>
    <w:semiHidden/>
    <w:qFormat/>
    <w:uiPriority w:val="0"/>
    <w:rPr>
      <w:rFonts w:ascii="Calibri" w:hAnsi="Calibri"/>
      <w:szCs w:val="24"/>
    </w:rPr>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1">
    <w:name w:val="默认段落字体 Para Char Char Char Char Char Char Char Char Char Char Char Char"/>
    <w:basedOn w:val="1"/>
    <w:link w:val="10"/>
    <w:qFormat/>
    <w:uiPriority w:val="0"/>
    <w:pPr>
      <w:tabs>
        <w:tab w:val="right" w:pos="-2120"/>
      </w:tabs>
      <w:snapToGrid w:val="0"/>
    </w:pPr>
    <w:rPr>
      <w:rFonts w:ascii="Calibri" w:hAnsi="Calibri"/>
      <w:szCs w:val="24"/>
    </w:rPr>
  </w:style>
  <w:style w:type="character" w:styleId="12">
    <w:name w:val="Strong"/>
    <w:basedOn w:val="10"/>
    <w:qFormat/>
    <w:uiPriority w:val="0"/>
    <w:rPr>
      <w:b/>
      <w:bCs/>
    </w:rPr>
  </w:style>
  <w:style w:type="character" w:styleId="13">
    <w:name w:val="page number"/>
    <w:basedOn w:val="10"/>
    <w:uiPriority w:val="0"/>
  </w:style>
  <w:style w:type="paragraph" w:customStyle="1" w:styleId="14">
    <w:name w:val="Normal (Web)"/>
    <w:basedOn w:val="1"/>
    <w:qFormat/>
    <w:uiPriority w:val="0"/>
    <w:pPr>
      <w:jc w:val="left"/>
    </w:pPr>
    <w:rPr>
      <w:rFonts w:ascii="Calibri" w:hAnsi="Calibri"/>
      <w:kern w:val="0"/>
      <w:sz w:val="24"/>
      <w:szCs w:val="24"/>
    </w:rPr>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1015</Characters>
  <Lines>1</Lines>
  <Paragraphs>1</Paragraphs>
  <TotalTime>0</TotalTime>
  <ScaleCrop>false</ScaleCrop>
  <LinksUpToDate>false</LinksUpToDate>
  <CharactersWithSpaces>1015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2023-05-16T06:51:01Z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E0CC9B7DCFD5424C9040C85773114A18</vt:lpwstr>
  </property>
</Properties>
</file>