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jc w:val="center"/>
        <w:rPr>
          <w:rFonts w:ascii="Times New Roman" w:hAnsi="Times New Roman" w:eastAsia="方正小标宋_GBK" w:cs="Times New Roman"/>
          <w:sz w:val="44"/>
          <w:szCs w:val="20"/>
        </w:rPr>
      </w:pPr>
    </w:p>
    <w:p>
      <w:pPr>
        <w:spacing w:line="550" w:lineRule="exact"/>
        <w:jc w:val="center"/>
        <w:rPr>
          <w:rFonts w:ascii="Times New Roman" w:hAnsi="Times New Roman" w:eastAsia="方正小标宋_GBK" w:cs="Times New Roman"/>
          <w:sz w:val="44"/>
          <w:szCs w:val="20"/>
        </w:rPr>
      </w:pPr>
    </w:p>
    <w:p>
      <w:pPr>
        <w:spacing w:line="578" w:lineRule="exact"/>
        <w:jc w:val="center"/>
        <w:rPr>
          <w:rFonts w:ascii="Times New Roman" w:hAnsi="Times New Roman" w:eastAsia="方正小标宋_GBK" w:cs="Times New Roman"/>
          <w:sz w:val="44"/>
          <w:szCs w:val="44"/>
        </w:rPr>
      </w:pPr>
      <w:bookmarkStart w:id="0" w:name="正文文件"/>
      <w:bookmarkEnd w:id="0"/>
      <w:r>
        <w:rPr>
          <w:rFonts w:hint="eastAsia" w:ascii="Times New Roman" w:hAnsi="Times New Roman" w:eastAsia="方正小标宋_GBK" w:cs="Times New Roman"/>
          <w:sz w:val="44"/>
          <w:szCs w:val="44"/>
        </w:rPr>
        <w:t>重庆市财政局关于印发</w:t>
      </w:r>
    </w:p>
    <w:p>
      <w:pPr>
        <w:spacing w:line="578"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《重庆市普惠金融发展专项资金管理办法》</w:t>
      </w:r>
    </w:p>
    <w:p>
      <w:pPr>
        <w:spacing w:line="578"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的通知</w:t>
      </w:r>
    </w:p>
    <w:p>
      <w:pPr>
        <w:spacing w:line="578" w:lineRule="exact"/>
        <w:jc w:val="center"/>
        <w:rPr>
          <w:rFonts w:ascii="方正楷体_GBK" w:hAnsi="Times New Roman" w:eastAsia="方正楷体_GBK" w:cs="Times New Roman"/>
          <w:sz w:val="32"/>
          <w:szCs w:val="20"/>
        </w:rPr>
      </w:pPr>
      <w:r>
        <w:rPr>
          <w:rFonts w:hint="eastAsia" w:ascii="方正楷体_GBK" w:hAnsi="Times New Roman" w:eastAsia="方正楷体_GBK" w:cs="Times New Roman"/>
          <w:sz w:val="32"/>
          <w:szCs w:val="20"/>
        </w:rPr>
        <w:t>渝财规〔2024〕2号</w:t>
      </w:r>
    </w:p>
    <w:p>
      <w:pPr>
        <w:spacing w:line="578" w:lineRule="exact"/>
        <w:jc w:val="center"/>
        <w:rPr>
          <w:rFonts w:ascii="Times New Roman" w:hAnsi="Times New Roman" w:eastAsia="方正仿宋_GBK" w:cs="Times New Roman"/>
          <w:sz w:val="32"/>
          <w:szCs w:val="20"/>
        </w:rPr>
      </w:pPr>
    </w:p>
    <w:p>
      <w:pPr>
        <w:spacing w:line="578" w:lineRule="exact"/>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各区县（自治县）财政局，两江新区、西部科学城重庆高新区、万盛经开区财政局</w:t>
      </w:r>
      <w:r>
        <w:rPr>
          <w:rFonts w:ascii="Times New Roman" w:hAnsi="Times New Roman" w:eastAsia="方正仿宋_GBK" w:cs="Times New Roman"/>
          <w:sz w:val="32"/>
          <w:szCs w:val="20"/>
        </w:rPr>
        <w:t>：</w:t>
      </w: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为规范普惠金融发展专项资金管理，提升政策效能和资金使用效益，</w:t>
      </w:r>
      <w:r>
        <w:rPr>
          <w:rFonts w:hint="eastAsia" w:ascii="Times New Roman" w:hAnsi="Times New Roman" w:eastAsia="方正仿宋_GBK" w:cs="Times New Roman"/>
          <w:sz w:val="32"/>
          <w:szCs w:val="20"/>
        </w:rPr>
        <w:t>推动普惠金融高质量发展，</w:t>
      </w:r>
      <w:r>
        <w:rPr>
          <w:rFonts w:ascii="Times New Roman" w:hAnsi="Times New Roman" w:eastAsia="方正仿宋_GBK" w:cs="Times New Roman"/>
          <w:sz w:val="32"/>
          <w:szCs w:val="20"/>
        </w:rPr>
        <w:t>根据财政部《普惠金融资金管理办法》（财金〔2023〕75号），</w:t>
      </w:r>
      <w:r>
        <w:rPr>
          <w:rFonts w:hint="eastAsia" w:ascii="Times New Roman" w:hAnsi="Times New Roman" w:eastAsia="方正仿宋_GBK" w:cs="Times New Roman"/>
          <w:sz w:val="32"/>
          <w:szCs w:val="20"/>
        </w:rPr>
        <w:t>结合我市实际，</w:t>
      </w:r>
      <w:r>
        <w:rPr>
          <w:rFonts w:ascii="Times New Roman" w:hAnsi="Times New Roman" w:eastAsia="方正仿宋_GBK" w:cs="Times New Roman"/>
          <w:sz w:val="32"/>
          <w:szCs w:val="20"/>
        </w:rPr>
        <w:t>我</w:t>
      </w:r>
      <w:r>
        <w:rPr>
          <w:rFonts w:hint="eastAsia" w:ascii="Times New Roman" w:hAnsi="Times New Roman" w:eastAsia="方正仿宋_GBK" w:cs="Times New Roman"/>
          <w:sz w:val="32"/>
          <w:szCs w:val="20"/>
        </w:rPr>
        <w:t>局修订了</w:t>
      </w:r>
      <w:r>
        <w:rPr>
          <w:rFonts w:ascii="Times New Roman" w:hAnsi="Times New Roman" w:eastAsia="方正仿宋_GBK" w:cs="Times New Roman"/>
          <w:sz w:val="32"/>
          <w:szCs w:val="20"/>
        </w:rPr>
        <w:t>《</w:t>
      </w:r>
      <w:r>
        <w:rPr>
          <w:rFonts w:hint="eastAsia" w:ascii="Times New Roman" w:hAnsi="Times New Roman" w:eastAsia="方正仿宋_GBK" w:cs="Times New Roman"/>
          <w:sz w:val="32"/>
          <w:szCs w:val="20"/>
        </w:rPr>
        <w:t>重庆市</w:t>
      </w:r>
      <w:r>
        <w:rPr>
          <w:rFonts w:ascii="Times New Roman" w:hAnsi="Times New Roman" w:eastAsia="方正仿宋_GBK" w:cs="Times New Roman"/>
          <w:sz w:val="32"/>
          <w:szCs w:val="20"/>
        </w:rPr>
        <w:t>普惠金融发展专项资金管理办法》，现印发给你们，请遵照执行</w:t>
      </w:r>
      <w:r>
        <w:rPr>
          <w:rFonts w:hint="eastAsia" w:ascii="Times New Roman" w:hAnsi="Times New Roman" w:eastAsia="方正仿宋_GBK" w:cs="Times New Roman"/>
          <w:sz w:val="32"/>
          <w:szCs w:val="20"/>
        </w:rPr>
        <w:t>。</w:t>
      </w:r>
    </w:p>
    <w:p>
      <w:pPr>
        <w:spacing w:line="578" w:lineRule="exact"/>
        <w:ind w:firstLine="640" w:firstLineChars="200"/>
        <w:rPr>
          <w:rFonts w:ascii="Times New Roman" w:hAnsi="Times New Roman" w:eastAsia="方正仿宋_GBK" w:cs="Times New Roman"/>
          <w:sz w:val="32"/>
          <w:szCs w:val="20"/>
        </w:rPr>
      </w:pPr>
    </w:p>
    <w:p>
      <w:pPr>
        <w:spacing w:line="578"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附件：重庆市普惠金融发展专项资金管理办法</w:t>
      </w:r>
    </w:p>
    <w:p>
      <w:pPr>
        <w:spacing w:line="578" w:lineRule="exact"/>
        <w:ind w:firstLine="640" w:firstLineChars="200"/>
        <w:rPr>
          <w:rFonts w:ascii="Times New Roman" w:hAnsi="Times New Roman" w:eastAsia="方正仿宋_GBK" w:cs="Times New Roman"/>
          <w:sz w:val="32"/>
          <w:szCs w:val="20"/>
        </w:rPr>
      </w:pPr>
    </w:p>
    <w:p>
      <w:pPr>
        <w:spacing w:line="578" w:lineRule="exact"/>
        <w:rPr>
          <w:rFonts w:ascii="Times New Roman" w:hAnsi="Times New Roman" w:eastAsia="方正仿宋_GBK" w:cs="Times New Roman"/>
          <w:sz w:val="32"/>
          <w:szCs w:val="20"/>
        </w:rPr>
      </w:pPr>
    </w:p>
    <w:p>
      <w:pPr>
        <w:spacing w:line="578" w:lineRule="exact"/>
        <w:rPr>
          <w:rFonts w:ascii="Times New Roman" w:hAnsi="Times New Roman" w:eastAsia="方正仿宋_GBK" w:cs="Times New Roman"/>
          <w:sz w:val="32"/>
          <w:szCs w:val="20"/>
        </w:rPr>
      </w:pPr>
    </w:p>
    <w:p>
      <w:pPr>
        <w:spacing w:line="578" w:lineRule="exact"/>
        <w:ind w:firstLine="5347" w:firstLineChars="1671"/>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重庆市财政局</w:t>
      </w:r>
    </w:p>
    <w:p>
      <w:pPr>
        <w:spacing w:line="578" w:lineRule="exact"/>
        <w:ind w:firstLine="5152" w:firstLineChars="161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20</w:t>
      </w:r>
      <w:r>
        <w:rPr>
          <w:rFonts w:ascii="Times New Roman" w:hAnsi="Times New Roman" w:eastAsia="方正仿宋_GBK" w:cs="Times New Roman"/>
          <w:sz w:val="32"/>
          <w:szCs w:val="20"/>
        </w:rPr>
        <w:t>24</w:t>
      </w:r>
      <w:r>
        <w:rPr>
          <w:rFonts w:hint="eastAsia" w:ascii="Times New Roman" w:hAnsi="Times New Roman" w:eastAsia="方正仿宋_GBK" w:cs="Times New Roman"/>
          <w:sz w:val="32"/>
          <w:szCs w:val="20"/>
        </w:rPr>
        <w:t>年</w:t>
      </w:r>
      <w:r>
        <w:rPr>
          <w:rFonts w:ascii="Times New Roman" w:hAnsi="Times New Roman" w:eastAsia="方正仿宋_GBK" w:cs="Times New Roman"/>
          <w:sz w:val="32"/>
          <w:szCs w:val="20"/>
        </w:rPr>
        <w:t>1</w:t>
      </w:r>
      <w:r>
        <w:rPr>
          <w:rFonts w:hint="eastAsia" w:ascii="Times New Roman" w:hAnsi="Times New Roman" w:eastAsia="方正仿宋_GBK" w:cs="Times New Roman"/>
          <w:sz w:val="32"/>
          <w:szCs w:val="20"/>
        </w:rPr>
        <w:t>月</w:t>
      </w:r>
      <w:r>
        <w:rPr>
          <w:rFonts w:ascii="Times New Roman" w:hAnsi="Times New Roman" w:eastAsia="方正仿宋_GBK" w:cs="Times New Roman"/>
          <w:sz w:val="32"/>
          <w:szCs w:val="20"/>
        </w:rPr>
        <w:t>11</w:t>
      </w:r>
      <w:r>
        <w:rPr>
          <w:rFonts w:hint="eastAsia" w:ascii="Times New Roman" w:hAnsi="Times New Roman" w:eastAsia="方正仿宋_GBK" w:cs="Times New Roman"/>
          <w:sz w:val="32"/>
          <w:szCs w:val="20"/>
        </w:rPr>
        <w:t>日</w:t>
      </w:r>
    </w:p>
    <w:p>
      <w:pPr>
        <w:spacing w:line="578"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（此件主动</w:t>
      </w:r>
      <w:r>
        <w:rPr>
          <w:rFonts w:ascii="Times New Roman" w:hAnsi="Times New Roman" w:eastAsia="方正仿宋_GBK" w:cs="Times New Roman"/>
          <w:sz w:val="32"/>
          <w:szCs w:val="20"/>
        </w:rPr>
        <w:t>公开）</w:t>
      </w:r>
    </w:p>
    <w:p>
      <w:pPr>
        <w:spacing w:line="578" w:lineRule="exact"/>
        <w:rPr>
          <w:rFonts w:ascii="Times New Roman" w:hAnsi="Times New Roman" w:eastAsia="方正黑体_GBK" w:cs="Times New Roman"/>
          <w:sz w:val="32"/>
          <w:szCs w:val="32"/>
        </w:rPr>
      </w:pPr>
      <w:r>
        <w:rPr>
          <w:rFonts w:ascii="Times New Roman" w:hAnsi="Times New Roman" w:eastAsia="方正仿宋_GBK" w:cs="Times New Roman"/>
          <w:sz w:val="32"/>
          <w:szCs w:val="20"/>
        </w:rPr>
        <w:br w:type="page"/>
      </w:r>
      <w:r>
        <w:rPr>
          <w:rFonts w:hint="eastAsia" w:ascii="Times New Roman" w:hAnsi="Times New Roman" w:eastAsia="方正黑体_GBK" w:cs="Times New Roman"/>
          <w:sz w:val="32"/>
          <w:szCs w:val="32"/>
        </w:rPr>
        <w:t>附件</w:t>
      </w:r>
    </w:p>
    <w:p>
      <w:pPr>
        <w:spacing w:line="578" w:lineRule="exact"/>
        <w:rPr>
          <w:rFonts w:ascii="Times New Roman" w:hAnsi="Times New Roman" w:eastAsia="方正仿宋_GBK" w:cs="Times New Roman"/>
          <w:sz w:val="32"/>
          <w:szCs w:val="20"/>
        </w:rPr>
      </w:pPr>
    </w:p>
    <w:p>
      <w:pPr>
        <w:spacing w:line="58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重庆市普惠金融发展专项资金管理办法</w:t>
      </w:r>
    </w:p>
    <w:p>
      <w:pPr>
        <w:spacing w:line="580" w:lineRule="exact"/>
        <w:jc w:val="center"/>
        <w:rPr>
          <w:rFonts w:ascii="Times New Roman" w:hAnsi="Times New Roman" w:eastAsia="方正小标宋_GBK" w:cs="Times New Roman"/>
          <w:sz w:val="44"/>
          <w:szCs w:val="44"/>
        </w:rPr>
      </w:pPr>
    </w:p>
    <w:p>
      <w:pPr>
        <w:spacing w:line="578" w:lineRule="exact"/>
        <w:jc w:val="center"/>
        <w:rPr>
          <w:rFonts w:ascii="Times New Roman" w:hAnsi="Times New Roman" w:eastAsia="方正黑体_GBK" w:cs="Times New Roman"/>
          <w:sz w:val="32"/>
          <w:szCs w:val="20"/>
        </w:rPr>
      </w:pPr>
      <w:r>
        <w:rPr>
          <w:rFonts w:hint="eastAsia" w:ascii="Times New Roman" w:hAnsi="Times New Roman" w:eastAsia="方正黑体_GBK" w:cs="Times New Roman"/>
          <w:sz w:val="32"/>
          <w:szCs w:val="20"/>
        </w:rPr>
        <w:t>第一章 总则</w:t>
      </w:r>
    </w:p>
    <w:p>
      <w:pPr>
        <w:spacing w:line="578" w:lineRule="exact"/>
        <w:ind w:firstLine="640" w:firstLineChars="200"/>
        <w:rPr>
          <w:rFonts w:ascii="Times New Roman" w:hAnsi="Times New Roman" w:eastAsia="方正仿宋_GBK" w:cs="Times New Roman"/>
          <w:sz w:val="32"/>
          <w:szCs w:val="20"/>
        </w:rPr>
      </w:pP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黑体_GBK" w:cs="Times New Roman"/>
          <w:sz w:val="32"/>
          <w:szCs w:val="20"/>
        </w:rPr>
        <w:t>第一条</w:t>
      </w:r>
      <w:r>
        <w:rPr>
          <w:rFonts w:ascii="Times New Roman" w:hAnsi="Times New Roman" w:eastAsia="方正仿宋_GBK" w:cs="Times New Roman"/>
          <w:sz w:val="32"/>
          <w:szCs w:val="20"/>
        </w:rPr>
        <w:t xml:space="preserve"> 为规范普惠金融发展专项资金管理，提升政策效能和资金使用效益，推动普惠金融高质量发展，根据财政部《普惠金融资金管理办法》（财金〔2023〕75号），结合我市实际，制定本办法。</w:t>
      </w: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黑体_GBK" w:cs="Times New Roman"/>
          <w:sz w:val="32"/>
          <w:szCs w:val="20"/>
        </w:rPr>
        <w:t>第二条</w:t>
      </w:r>
      <w:r>
        <w:rPr>
          <w:rFonts w:ascii="Times New Roman" w:hAnsi="Times New Roman" w:eastAsia="方正仿宋_GBK" w:cs="Times New Roman"/>
          <w:sz w:val="32"/>
          <w:szCs w:val="20"/>
        </w:rPr>
        <w:t xml:space="preserve"> 本办法所称普惠金融发展专项资金（以下简称</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专项资金</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），是指市级及以上财政安排支持普惠金融发展的专项资金，用于创业担保贷款贴息和奖</w:t>
      </w:r>
      <w:r>
        <w:rPr>
          <w:rFonts w:hint="eastAsia" w:ascii="Times New Roman" w:hAnsi="Times New Roman" w:eastAsia="方正仿宋_GBK" w:cs="Times New Roman"/>
          <w:sz w:val="32"/>
          <w:szCs w:val="20"/>
        </w:rPr>
        <w:t>补</w:t>
      </w:r>
      <w:r>
        <w:rPr>
          <w:rFonts w:ascii="Times New Roman" w:hAnsi="Times New Roman" w:eastAsia="方正仿宋_GBK" w:cs="Times New Roman"/>
          <w:sz w:val="32"/>
          <w:szCs w:val="20"/>
        </w:rPr>
        <w:t>、财政支持普惠金融发展示范区奖补、农村金融机构定向费用奖补等工作。</w:t>
      </w: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黑体_GBK" w:cs="Times New Roman"/>
          <w:sz w:val="32"/>
          <w:szCs w:val="20"/>
        </w:rPr>
        <w:t>第三条</w:t>
      </w:r>
      <w:r>
        <w:rPr>
          <w:rFonts w:ascii="Times New Roman" w:hAnsi="Times New Roman" w:eastAsia="方正仿宋_GBK" w:cs="Times New Roman"/>
          <w:sz w:val="32"/>
          <w:szCs w:val="20"/>
        </w:rPr>
        <w:t xml:space="preserve"> 市财政局负责专项资金的</w:t>
      </w:r>
      <w:r>
        <w:rPr>
          <w:rFonts w:hint="eastAsia" w:ascii="Times New Roman" w:hAnsi="Times New Roman" w:eastAsia="方正仿宋_GBK" w:cs="Times New Roman"/>
          <w:sz w:val="32"/>
          <w:szCs w:val="20"/>
        </w:rPr>
        <w:t>组织实施、</w:t>
      </w:r>
      <w:r>
        <w:rPr>
          <w:rFonts w:ascii="Times New Roman" w:hAnsi="Times New Roman" w:eastAsia="方正仿宋_GBK" w:cs="Times New Roman"/>
          <w:sz w:val="32"/>
          <w:szCs w:val="20"/>
        </w:rPr>
        <w:t>预算</w:t>
      </w:r>
      <w:r>
        <w:rPr>
          <w:rFonts w:hint="eastAsia" w:ascii="Times New Roman" w:hAnsi="Times New Roman" w:eastAsia="方正仿宋_GBK" w:cs="Times New Roman"/>
          <w:sz w:val="32"/>
          <w:szCs w:val="20"/>
        </w:rPr>
        <w:t>编制、</w:t>
      </w:r>
      <w:r>
        <w:rPr>
          <w:rFonts w:ascii="Times New Roman" w:hAnsi="Times New Roman" w:eastAsia="方正仿宋_GBK" w:cs="Times New Roman"/>
          <w:sz w:val="32"/>
          <w:szCs w:val="20"/>
        </w:rPr>
        <w:t>分解下达、预算绩效管理等</w:t>
      </w:r>
      <w:r>
        <w:rPr>
          <w:rFonts w:hint="eastAsia" w:ascii="Times New Roman" w:hAnsi="Times New Roman" w:eastAsia="方正仿宋_GBK" w:cs="Times New Roman"/>
          <w:sz w:val="32"/>
          <w:szCs w:val="20"/>
        </w:rPr>
        <w:t>相关</w:t>
      </w:r>
      <w:r>
        <w:rPr>
          <w:rFonts w:ascii="Times New Roman" w:hAnsi="Times New Roman" w:eastAsia="方正仿宋_GBK" w:cs="Times New Roman"/>
          <w:sz w:val="32"/>
          <w:szCs w:val="20"/>
        </w:rPr>
        <w:t>工作。</w:t>
      </w: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区县财政局负责组织申报、审核拨付</w:t>
      </w:r>
      <w:r>
        <w:rPr>
          <w:rFonts w:hint="eastAsia" w:ascii="Times New Roman" w:hAnsi="Times New Roman" w:eastAsia="方正仿宋_GBK" w:cs="Times New Roman"/>
          <w:sz w:val="32"/>
          <w:szCs w:val="20"/>
        </w:rPr>
        <w:t>、监督管理等相关工作</w:t>
      </w:r>
      <w:r>
        <w:rPr>
          <w:rFonts w:ascii="Times New Roman" w:hAnsi="Times New Roman" w:eastAsia="方正仿宋_GBK" w:cs="Times New Roman"/>
          <w:sz w:val="32"/>
          <w:szCs w:val="20"/>
        </w:rPr>
        <w:t>。</w:t>
      </w:r>
    </w:p>
    <w:p>
      <w:pPr>
        <w:spacing w:line="578" w:lineRule="exact"/>
        <w:ind w:firstLine="640" w:firstLineChars="200"/>
        <w:rPr>
          <w:rFonts w:ascii="Times New Roman" w:hAnsi="Times New Roman" w:eastAsia="方正仿宋_GBK" w:cs="Times New Roman"/>
          <w:sz w:val="32"/>
          <w:szCs w:val="20"/>
        </w:rPr>
      </w:pPr>
    </w:p>
    <w:p>
      <w:pPr>
        <w:spacing w:line="578" w:lineRule="exact"/>
        <w:jc w:val="center"/>
        <w:rPr>
          <w:rFonts w:ascii="Times New Roman" w:hAnsi="Times New Roman" w:eastAsia="方正黑体_GBK" w:cs="Times New Roman"/>
          <w:sz w:val="32"/>
          <w:szCs w:val="20"/>
        </w:rPr>
      </w:pPr>
      <w:r>
        <w:rPr>
          <w:rFonts w:ascii="Times New Roman" w:hAnsi="Times New Roman" w:eastAsia="方正黑体_GBK" w:cs="Times New Roman"/>
          <w:sz w:val="32"/>
          <w:szCs w:val="20"/>
        </w:rPr>
        <w:t>第二章 创业担保贷款贴息和奖补</w:t>
      </w:r>
    </w:p>
    <w:p>
      <w:pPr>
        <w:spacing w:line="578" w:lineRule="exact"/>
        <w:ind w:firstLine="640" w:firstLineChars="200"/>
        <w:rPr>
          <w:rFonts w:ascii="Times New Roman" w:hAnsi="Times New Roman" w:eastAsia="方正仿宋_GBK" w:cs="Times New Roman"/>
          <w:sz w:val="32"/>
          <w:szCs w:val="20"/>
        </w:rPr>
      </w:pP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黑体_GBK" w:cs="Times New Roman"/>
          <w:sz w:val="32"/>
          <w:szCs w:val="20"/>
        </w:rPr>
        <w:t>第四条</w:t>
      </w:r>
      <w:r>
        <w:rPr>
          <w:rFonts w:ascii="Times New Roman" w:hAnsi="Times New Roman" w:eastAsia="方正仿宋_GBK" w:cs="Times New Roman"/>
          <w:sz w:val="32"/>
          <w:szCs w:val="20"/>
        </w:rPr>
        <w:t xml:space="preserve"> 为落实就业优先政策，支持重点群体就业创业，引导金融机构加大创业担保贷款投放，安排专项资金用于创业担保贷款贴息、绩效奖励、担保费补贴</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信息</w:t>
      </w:r>
      <w:r>
        <w:rPr>
          <w:rFonts w:hint="eastAsia" w:ascii="Times New Roman" w:hAnsi="Times New Roman" w:eastAsia="方正仿宋_GBK" w:cs="Times New Roman"/>
          <w:sz w:val="32"/>
          <w:szCs w:val="20"/>
        </w:rPr>
        <w:t>化建设</w:t>
      </w:r>
      <w:r>
        <w:rPr>
          <w:rFonts w:ascii="Times New Roman" w:hAnsi="Times New Roman" w:eastAsia="方正仿宋_GBK" w:cs="Times New Roman"/>
          <w:sz w:val="32"/>
          <w:szCs w:val="20"/>
        </w:rPr>
        <w:t>等。</w:t>
      </w: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黑体_GBK" w:cs="Times New Roman"/>
          <w:sz w:val="32"/>
          <w:szCs w:val="20"/>
        </w:rPr>
        <w:t>第五条</w:t>
      </w:r>
      <w:r>
        <w:rPr>
          <w:rFonts w:ascii="Times New Roman" w:hAnsi="Times New Roman" w:eastAsia="方正仿宋_GBK" w:cs="Times New Roman"/>
          <w:sz w:val="32"/>
          <w:szCs w:val="20"/>
        </w:rPr>
        <w:t xml:space="preserve"> 本办法所称创业担保贷款，是指以符合规定条件的创业者个人或小微企业为借款人，由政府性融资担保机构提供担保，由经办银行发放，由财政部门给予贴息，用于支持个人创业或小微企业吸纳就业的贷款业务。</w:t>
      </w:r>
      <w:r>
        <w:rPr>
          <w:rFonts w:hint="eastAsia" w:ascii="Times New Roman" w:hAnsi="Times New Roman" w:eastAsia="方正仿宋_GBK" w:cs="Times New Roman"/>
          <w:sz w:val="32"/>
          <w:szCs w:val="20"/>
        </w:rPr>
        <w:t>政府性融资担保机构可适当收取担保费，并按相关政策规定享受担保费补贴。</w:t>
      </w: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本办法所称政府性融资担保机构，是指在市财政局、市金融监管局</w:t>
      </w:r>
      <w:r>
        <w:rPr>
          <w:rFonts w:hint="eastAsia" w:ascii="Times New Roman" w:hAnsi="Times New Roman" w:eastAsia="方正仿宋_GBK" w:cs="Times New Roman"/>
          <w:sz w:val="32"/>
          <w:szCs w:val="20"/>
        </w:rPr>
        <w:t>确定</w:t>
      </w:r>
      <w:r>
        <w:rPr>
          <w:rFonts w:ascii="Times New Roman" w:hAnsi="Times New Roman" w:eastAsia="方正仿宋_GBK" w:cs="Times New Roman"/>
          <w:sz w:val="32"/>
          <w:szCs w:val="20"/>
        </w:rPr>
        <w:t>的政府性融资担保机构名单内，以服务小微企业和</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三农</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主体为主要经营目标的融资担保机构。</w:t>
      </w: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本办法所称经办银行，是指综合考虑贷款便利度、贷款利率、服务评价等因素，按程序择优录取</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为符合条件的个人或小微企业发放创业担保贷款的银行业金融机构。</w:t>
      </w: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黑体_GBK" w:cs="Times New Roman"/>
          <w:sz w:val="32"/>
          <w:szCs w:val="20"/>
        </w:rPr>
        <w:t>第六条</w:t>
      </w:r>
      <w:r>
        <w:rPr>
          <w:rFonts w:ascii="Times New Roman" w:hAnsi="Times New Roman" w:eastAsia="方正仿宋_GBK" w:cs="Times New Roman"/>
          <w:sz w:val="32"/>
          <w:szCs w:val="20"/>
        </w:rPr>
        <w:t xml:space="preserve"> 符合以下条件的个人可申请创业担保贷款和财政贴息支持：</w:t>
      </w: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一）属于重点就业群体。包括城镇登记失业人员、就业困难人员（含残疾人）、退役军人、刑满释放人员、高校毕业生（含大学生村官和留学回国学生）、化解过剩产能企业职工和失业人员、返乡创业农民工、网络商户、脱贫人口、农村自主创业农民</w:t>
      </w:r>
      <w:r>
        <w:rPr>
          <w:rFonts w:hint="eastAsia" w:ascii="Times New Roman" w:hAnsi="Times New Roman" w:eastAsia="方正仿宋_GBK" w:cs="Times New Roman"/>
          <w:sz w:val="32"/>
          <w:szCs w:val="20"/>
        </w:rPr>
        <w:t>。</w:t>
      </w: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（二）除助学贷款、脱贫人口小额信贷、住房贷款、购车贷款、5万元以下小额消费贷款（含信用卡消费）以外，申请人提交创业担保贷款申请时，本人及其配偶无其他贷款。</w:t>
      </w:r>
    </w:p>
    <w:p>
      <w:pPr>
        <w:spacing w:line="578" w:lineRule="exact"/>
        <w:ind w:firstLine="640" w:firstLineChars="200"/>
        <w:rPr>
          <w:rFonts w:ascii="Times New Roman" w:hAnsi="Times New Roman" w:eastAsia="方正仿宋_GBK" w:cs="Times New Roman"/>
          <w:sz w:val="32"/>
          <w:szCs w:val="20"/>
        </w:rPr>
      </w:pPr>
      <w:r>
        <w:rPr>
          <w:rFonts w:hint="eastAsia" w:ascii="Times New Roman" w:hAnsi="Times New Roman" w:eastAsia="方正黑体_GBK" w:cs="Times New Roman"/>
          <w:sz w:val="32"/>
          <w:szCs w:val="20"/>
        </w:rPr>
        <w:t>第七条</w:t>
      </w:r>
      <w:r>
        <w:rPr>
          <w:rFonts w:ascii="Times New Roman" w:hAnsi="Times New Roman" w:eastAsia="方正仿宋_GBK" w:cs="Times New Roman"/>
          <w:sz w:val="32"/>
          <w:szCs w:val="20"/>
        </w:rPr>
        <w:t xml:space="preserve"> 符合以下条件的小微企业可申请创业担保贷款和财政贴息支持：</w:t>
      </w: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（一）属于现行中小企业划型标准规定的小型、微型企业；</w:t>
      </w: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（二）小微企业在申请创业担保贷款前1年内新招用符合创业担保贷款申请条件的人数达到企业现有在职职工人数10%（超过100人的企业达到5%），并与其签订1年以上劳动合同；</w:t>
      </w: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（三）无拖欠职工工资、欠缴社会保险费等违法违规信用记录。</w:t>
      </w: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黑体_GBK" w:cs="Times New Roman"/>
          <w:sz w:val="32"/>
          <w:szCs w:val="20"/>
        </w:rPr>
        <w:t>第八条</w:t>
      </w:r>
      <w:r>
        <w:rPr>
          <w:rFonts w:ascii="Times New Roman" w:hAnsi="Times New Roman" w:eastAsia="方正仿宋_GBK" w:cs="Times New Roman"/>
          <w:sz w:val="32"/>
          <w:szCs w:val="20"/>
        </w:rPr>
        <w:t xml:space="preserve"> 对符合条件的创业担保贷款，财政部门给予贷款实际利率50%的财政贴息。对展期、逾期的创业担保贷款，财政部门原则上不予贴息，国务院另有规定的除外。</w:t>
      </w: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黑体_GBK" w:cs="Times New Roman"/>
          <w:sz w:val="32"/>
          <w:szCs w:val="20"/>
        </w:rPr>
        <w:t>第九条</w:t>
      </w:r>
      <w:r>
        <w:rPr>
          <w:rFonts w:ascii="Times New Roman" w:hAnsi="Times New Roman" w:eastAsia="方正仿宋_GBK" w:cs="Times New Roman"/>
          <w:sz w:val="32"/>
          <w:szCs w:val="20"/>
        </w:rPr>
        <w:t xml:space="preserve"> </w:t>
      </w:r>
      <w:r>
        <w:rPr>
          <w:rFonts w:hint="eastAsia" w:ascii="Times New Roman" w:hAnsi="Times New Roman" w:eastAsia="方正仿宋_GBK" w:cs="Times New Roman"/>
          <w:sz w:val="32"/>
          <w:szCs w:val="20"/>
        </w:rPr>
        <w:t>鼓励政府性融资担保机构按市场化原则，逐步降低或取消反担保要求。</w:t>
      </w:r>
      <w:r>
        <w:rPr>
          <w:rFonts w:ascii="Times New Roman" w:hAnsi="Times New Roman" w:eastAsia="方正仿宋_GBK" w:cs="Times New Roman"/>
          <w:sz w:val="32"/>
          <w:szCs w:val="20"/>
        </w:rPr>
        <w:t>符合以下条件之一的创业担保贷款，原则上取消反担保：</w:t>
      </w: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（一）个人申请的10万元以下的创业担保贷款；</w:t>
      </w: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（二）全国创业孵化示范基地或信用社区（乡村）推荐的创业项目；</w:t>
      </w: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（三）获得市级以上荣誉称号的创业人员、创业项目、创业企业申请的创业担保贷款；</w:t>
      </w: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（四）经金融机构评估认定、符合信用贷款发放条件的创业者个人或小微企业申请的创业担保贷款；</w:t>
      </w: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（五）经营稳定守信的二次创业者等特定群体申请的创业担保贷款。</w:t>
      </w: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黑体_GBK" w:cs="Times New Roman"/>
          <w:sz w:val="32"/>
          <w:szCs w:val="20"/>
        </w:rPr>
        <w:t>第十条</w:t>
      </w:r>
      <w:r>
        <w:rPr>
          <w:rFonts w:ascii="Times New Roman" w:hAnsi="Times New Roman" w:eastAsia="方正仿宋_GBK" w:cs="Times New Roman"/>
          <w:sz w:val="32"/>
          <w:szCs w:val="20"/>
        </w:rPr>
        <w:t xml:space="preserve"> 申请创业担保贷款贴息支持的个人或小微企业应向当地</w:t>
      </w:r>
      <w:r>
        <w:rPr>
          <w:rFonts w:hint="eastAsia" w:ascii="Times New Roman" w:hAnsi="Times New Roman" w:eastAsia="方正仿宋_GBK" w:cs="Times New Roman"/>
          <w:sz w:val="32"/>
          <w:szCs w:val="20"/>
        </w:rPr>
        <w:t>人力社保</w:t>
      </w:r>
      <w:r>
        <w:rPr>
          <w:rFonts w:ascii="Times New Roman" w:hAnsi="Times New Roman" w:eastAsia="方正仿宋_GBK" w:cs="Times New Roman"/>
          <w:sz w:val="32"/>
          <w:szCs w:val="20"/>
        </w:rPr>
        <w:t>部门申请资格审核，通过资格审核的个人或小微企业，向政府性融资担保机构、经办银行提交申请。政府性融资担保机构、经办银行收到申请后，开展贷前审查，符合相关担保和贷款条件的，与</w:t>
      </w:r>
      <w:r>
        <w:rPr>
          <w:rFonts w:hint="eastAsia" w:ascii="Times New Roman" w:hAnsi="Times New Roman" w:eastAsia="方正仿宋_GBK" w:cs="Times New Roman"/>
          <w:sz w:val="32"/>
          <w:szCs w:val="20"/>
        </w:rPr>
        <w:t>借款人</w:t>
      </w:r>
      <w:r>
        <w:rPr>
          <w:rFonts w:ascii="Times New Roman" w:hAnsi="Times New Roman" w:eastAsia="方正仿宋_GBK" w:cs="Times New Roman"/>
          <w:sz w:val="32"/>
          <w:szCs w:val="20"/>
        </w:rPr>
        <w:t>签订创业担保贷款</w:t>
      </w:r>
      <w:r>
        <w:rPr>
          <w:rFonts w:hint="eastAsia" w:ascii="Times New Roman" w:hAnsi="Times New Roman" w:eastAsia="方正仿宋_GBK" w:cs="Times New Roman"/>
          <w:sz w:val="32"/>
          <w:szCs w:val="20"/>
        </w:rPr>
        <w:t>及担保</w:t>
      </w:r>
      <w:r>
        <w:rPr>
          <w:rFonts w:ascii="Times New Roman" w:hAnsi="Times New Roman" w:eastAsia="方正仿宋_GBK" w:cs="Times New Roman"/>
          <w:sz w:val="32"/>
          <w:szCs w:val="20"/>
        </w:rPr>
        <w:t>合同。</w:t>
      </w: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黑体_GBK" w:cs="Times New Roman"/>
          <w:sz w:val="32"/>
          <w:szCs w:val="20"/>
        </w:rPr>
        <w:t>第十一条</w:t>
      </w:r>
      <w:r>
        <w:rPr>
          <w:rFonts w:ascii="Times New Roman" w:hAnsi="Times New Roman" w:eastAsia="方正仿宋_GBK" w:cs="Times New Roman"/>
          <w:sz w:val="32"/>
          <w:szCs w:val="20"/>
        </w:rPr>
        <w:t xml:space="preserve"> 对于符合本办法第五条至第八条有关规定，并符合以下条件的创业担保贷款，可纳入专项资金支持范围：</w:t>
      </w: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一）贷款额度。个人创业担保贷款额度不超过30万元，小微企业创业担保贷款额度不超过400万元。对符合个人创业担保贷款条件的借款人合伙创业的，可根据合伙创业人数适当提高贷款额度，最高不超过符合条件的个人创业担保贷款额度上限之和的110%、且不超过小微企业创业担保贷款额度上限400万元。</w:t>
      </w: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（二）贷款期限。个人贷款期限</w:t>
      </w:r>
      <w:r>
        <w:rPr>
          <w:rFonts w:hint="eastAsia" w:ascii="Times New Roman" w:hAnsi="Times New Roman" w:eastAsia="方正仿宋_GBK" w:cs="Times New Roman"/>
          <w:sz w:val="32"/>
          <w:szCs w:val="20"/>
        </w:rPr>
        <w:t>单次</w:t>
      </w:r>
      <w:r>
        <w:rPr>
          <w:rFonts w:ascii="Times New Roman" w:hAnsi="Times New Roman" w:eastAsia="方正仿宋_GBK" w:cs="Times New Roman"/>
          <w:sz w:val="32"/>
          <w:szCs w:val="20"/>
        </w:rPr>
        <w:t>不超过3年，小微企业贷款期限</w:t>
      </w:r>
      <w:r>
        <w:rPr>
          <w:rFonts w:hint="eastAsia" w:ascii="Times New Roman" w:hAnsi="Times New Roman" w:eastAsia="方正仿宋_GBK" w:cs="Times New Roman"/>
          <w:sz w:val="32"/>
          <w:szCs w:val="20"/>
        </w:rPr>
        <w:t>单次</w:t>
      </w:r>
      <w:r>
        <w:rPr>
          <w:rFonts w:ascii="Times New Roman" w:hAnsi="Times New Roman" w:eastAsia="方正仿宋_GBK" w:cs="Times New Roman"/>
          <w:sz w:val="32"/>
          <w:szCs w:val="20"/>
        </w:rPr>
        <w:t>不超过2年。对还款积极、带动就业能力强、创业项目好的借款个人或小微企业，创业担保贷款到期后可继续申请贷款及贴息支持，累计次数不超过3次。</w:t>
      </w: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（三）贷款利率。创业担保贷款利率由借款人、经办银行、政府性融资担保机构协商确定，贷款利率上限为LPR+150BPs</w:t>
      </w:r>
      <w:r>
        <w:rPr>
          <w:rFonts w:hint="eastAsia" w:ascii="Times New Roman" w:hAnsi="Times New Roman" w:eastAsia="方正仿宋_GBK" w:cs="Times New Roman"/>
          <w:sz w:val="32"/>
          <w:szCs w:val="20"/>
        </w:rPr>
        <w:t>，14个国家级</w:t>
      </w:r>
      <w:r>
        <w:rPr>
          <w:rFonts w:ascii="Times New Roman" w:hAnsi="Times New Roman" w:eastAsia="方正仿宋_GBK" w:cs="Times New Roman"/>
          <w:sz w:val="32"/>
          <w:szCs w:val="20"/>
        </w:rPr>
        <w:t>脱贫</w:t>
      </w:r>
      <w:r>
        <w:rPr>
          <w:rFonts w:hint="eastAsia" w:ascii="Times New Roman" w:hAnsi="Times New Roman" w:eastAsia="方正仿宋_GBK" w:cs="Times New Roman"/>
          <w:sz w:val="32"/>
          <w:szCs w:val="20"/>
        </w:rPr>
        <w:t>区县</w:t>
      </w:r>
      <w:r>
        <w:rPr>
          <w:rFonts w:ascii="Times New Roman" w:hAnsi="Times New Roman" w:eastAsia="方正仿宋_GBK" w:cs="Times New Roman"/>
          <w:sz w:val="32"/>
          <w:szCs w:val="20"/>
        </w:rPr>
        <w:t>贷款利率上限为LPR+250BPs。其中，LPR为1年期贷款市场报价利率。</w:t>
      </w: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黑体_GBK" w:cs="Times New Roman"/>
          <w:sz w:val="32"/>
          <w:szCs w:val="20"/>
        </w:rPr>
        <w:t>第十二条</w:t>
      </w:r>
      <w:r>
        <w:rPr>
          <w:rFonts w:ascii="Times New Roman" w:hAnsi="Times New Roman" w:eastAsia="方正仿宋_GBK" w:cs="Times New Roman"/>
          <w:sz w:val="32"/>
          <w:szCs w:val="20"/>
        </w:rPr>
        <w:t xml:space="preserve"> </w:t>
      </w:r>
      <w:r>
        <w:rPr>
          <w:rFonts w:hint="eastAsia" w:ascii="Times New Roman" w:hAnsi="Times New Roman" w:eastAsia="方正仿宋_GBK" w:cs="Times New Roman"/>
          <w:sz w:val="32"/>
          <w:szCs w:val="20"/>
        </w:rPr>
        <w:t>未经市政府同意</w:t>
      </w:r>
      <w:r>
        <w:rPr>
          <w:rFonts w:ascii="Times New Roman" w:hAnsi="Times New Roman" w:eastAsia="方正仿宋_GBK" w:cs="Times New Roman"/>
          <w:sz w:val="32"/>
          <w:szCs w:val="20"/>
        </w:rPr>
        <w:t>突破本办法规定创业担保贷款贴息支持范围、额度上限、贷款利率上限或贴息比例的贷款，专项资金不予支持。</w:t>
      </w: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黑体_GBK" w:cs="Times New Roman"/>
          <w:sz w:val="32"/>
          <w:szCs w:val="20"/>
        </w:rPr>
        <w:t>第十三条</w:t>
      </w:r>
      <w:r>
        <w:rPr>
          <w:rFonts w:ascii="Times New Roman" w:hAnsi="Times New Roman" w:eastAsia="方正仿宋_GBK" w:cs="Times New Roman"/>
          <w:sz w:val="32"/>
          <w:szCs w:val="20"/>
        </w:rPr>
        <w:t xml:space="preserve"> </w:t>
      </w:r>
      <w:r>
        <w:rPr>
          <w:rFonts w:hint="eastAsia" w:ascii="Times New Roman" w:hAnsi="Times New Roman" w:eastAsia="方正仿宋_GBK" w:cs="Times New Roman"/>
          <w:sz w:val="32"/>
          <w:szCs w:val="20"/>
        </w:rPr>
        <w:t>创业担保贷款由经办银行与政府性融资担保机构按30%、70%的比例分担风险。</w:t>
      </w:r>
    </w:p>
    <w:p>
      <w:pPr>
        <w:spacing w:line="578" w:lineRule="exact"/>
        <w:ind w:firstLine="640" w:firstLineChars="200"/>
        <w:rPr>
          <w:rFonts w:ascii="Times New Roman" w:hAnsi="Times New Roman" w:eastAsia="方正仿宋_GBK" w:cs="Times New Roman"/>
          <w:sz w:val="32"/>
          <w:szCs w:val="20"/>
        </w:rPr>
      </w:pPr>
      <w:r>
        <w:rPr>
          <w:rFonts w:hint="eastAsia" w:ascii="Times New Roman" w:hAnsi="Times New Roman" w:eastAsia="方正黑体_GBK" w:cs="Times New Roman"/>
          <w:sz w:val="32"/>
          <w:szCs w:val="20"/>
        </w:rPr>
        <w:t>第十四条</w:t>
      </w:r>
      <w:r>
        <w:rPr>
          <w:rFonts w:hint="eastAsia" w:ascii="Times New Roman" w:hAnsi="Times New Roman" w:eastAsia="方正仿宋_GBK" w:cs="Times New Roman"/>
          <w:sz w:val="32"/>
          <w:szCs w:val="20"/>
        </w:rPr>
        <w:t xml:space="preserve"> </w:t>
      </w:r>
      <w:r>
        <w:rPr>
          <w:rFonts w:ascii="Times New Roman" w:hAnsi="Times New Roman" w:eastAsia="方正仿宋_GBK" w:cs="Times New Roman"/>
          <w:sz w:val="32"/>
          <w:szCs w:val="20"/>
        </w:rPr>
        <w:t>市财政局每年对区县开展</w:t>
      </w:r>
      <w:r>
        <w:rPr>
          <w:rFonts w:hint="eastAsia" w:ascii="Times New Roman" w:hAnsi="Times New Roman" w:eastAsia="方正仿宋_GBK" w:cs="Times New Roman"/>
          <w:sz w:val="32"/>
          <w:szCs w:val="20"/>
        </w:rPr>
        <w:t>创业担保贷款</w:t>
      </w:r>
      <w:r>
        <w:rPr>
          <w:rFonts w:ascii="Times New Roman" w:hAnsi="Times New Roman" w:eastAsia="方正仿宋_GBK" w:cs="Times New Roman"/>
          <w:sz w:val="32"/>
          <w:szCs w:val="20"/>
        </w:rPr>
        <w:t>工作</w:t>
      </w:r>
      <w:r>
        <w:rPr>
          <w:rFonts w:hint="eastAsia" w:ascii="Times New Roman" w:hAnsi="Times New Roman" w:eastAsia="方正仿宋_GBK" w:cs="Times New Roman"/>
          <w:sz w:val="32"/>
          <w:szCs w:val="20"/>
        </w:rPr>
        <w:t>情况</w:t>
      </w:r>
      <w:r>
        <w:rPr>
          <w:rFonts w:ascii="Times New Roman" w:hAnsi="Times New Roman" w:eastAsia="方正仿宋_GBK" w:cs="Times New Roman"/>
          <w:sz w:val="32"/>
          <w:szCs w:val="20"/>
        </w:rPr>
        <w:t>进行绩效评价，按照绩效评价得分由高到低的顺序，将区县划分为四档，第一档</w:t>
      </w:r>
      <w:r>
        <w:rPr>
          <w:rFonts w:hint="eastAsia" w:ascii="Times New Roman" w:hAnsi="Times New Roman" w:eastAsia="方正仿宋_GBK" w:cs="Times New Roman"/>
          <w:sz w:val="32"/>
          <w:szCs w:val="20"/>
        </w:rPr>
        <w:t>3</w:t>
      </w:r>
      <w:r>
        <w:rPr>
          <w:rFonts w:ascii="Times New Roman" w:hAnsi="Times New Roman" w:eastAsia="方正仿宋_GBK" w:cs="Times New Roman"/>
          <w:sz w:val="32"/>
          <w:szCs w:val="20"/>
        </w:rPr>
        <w:t>个区县、第二档</w:t>
      </w:r>
      <w:r>
        <w:rPr>
          <w:rFonts w:hint="eastAsia" w:ascii="Times New Roman" w:hAnsi="Times New Roman" w:eastAsia="方正仿宋_GBK" w:cs="Times New Roman"/>
          <w:sz w:val="32"/>
          <w:szCs w:val="20"/>
        </w:rPr>
        <w:t>5</w:t>
      </w:r>
      <w:r>
        <w:rPr>
          <w:rFonts w:ascii="Times New Roman" w:hAnsi="Times New Roman" w:eastAsia="方正仿宋_GBK" w:cs="Times New Roman"/>
          <w:sz w:val="32"/>
          <w:szCs w:val="20"/>
        </w:rPr>
        <w:t>个区县、第三档</w:t>
      </w:r>
      <w:r>
        <w:rPr>
          <w:rFonts w:hint="eastAsia" w:ascii="Times New Roman" w:hAnsi="Times New Roman" w:eastAsia="方正仿宋_GBK" w:cs="Times New Roman"/>
          <w:sz w:val="32"/>
          <w:szCs w:val="20"/>
        </w:rPr>
        <w:t>8</w:t>
      </w:r>
      <w:r>
        <w:rPr>
          <w:rFonts w:ascii="Times New Roman" w:hAnsi="Times New Roman" w:eastAsia="方正仿宋_GBK" w:cs="Times New Roman"/>
          <w:sz w:val="32"/>
          <w:szCs w:val="20"/>
        </w:rPr>
        <w:t>个区县、其余区县归为第四档。第一、二、三档分别分配综合绩效评价结果奖励资金总额的</w:t>
      </w:r>
      <w:r>
        <w:rPr>
          <w:rFonts w:hint="eastAsia" w:ascii="Times New Roman" w:hAnsi="Times New Roman" w:eastAsia="方正仿宋_GBK" w:cs="Times New Roman"/>
          <w:sz w:val="32"/>
          <w:szCs w:val="20"/>
        </w:rPr>
        <w:t>3</w:t>
      </w:r>
      <w:r>
        <w:rPr>
          <w:rFonts w:ascii="Times New Roman" w:hAnsi="Times New Roman" w:eastAsia="方正仿宋_GBK" w:cs="Times New Roman"/>
          <w:sz w:val="32"/>
          <w:szCs w:val="20"/>
        </w:rPr>
        <w:t>0%、30%、</w:t>
      </w:r>
      <w:r>
        <w:rPr>
          <w:rFonts w:hint="eastAsia" w:ascii="Times New Roman" w:hAnsi="Times New Roman" w:eastAsia="方正仿宋_GBK" w:cs="Times New Roman"/>
          <w:sz w:val="32"/>
          <w:szCs w:val="20"/>
        </w:rPr>
        <w:t>4</w:t>
      </w:r>
      <w:r>
        <w:rPr>
          <w:rFonts w:ascii="Times New Roman" w:hAnsi="Times New Roman" w:eastAsia="方正仿宋_GBK" w:cs="Times New Roman"/>
          <w:sz w:val="32"/>
          <w:szCs w:val="20"/>
        </w:rPr>
        <w:t>0%，每一档内各区县平均分配</w:t>
      </w:r>
      <w:r>
        <w:rPr>
          <w:rFonts w:hint="eastAsia" w:ascii="Times New Roman" w:hAnsi="Times New Roman" w:eastAsia="方正仿宋_GBK" w:cs="Times New Roman"/>
          <w:sz w:val="32"/>
          <w:szCs w:val="20"/>
        </w:rPr>
        <w:t>。</w:t>
      </w:r>
    </w:p>
    <w:p>
      <w:pPr>
        <w:spacing w:line="578" w:lineRule="exact"/>
        <w:ind w:firstLine="640" w:firstLineChars="200"/>
        <w:rPr>
          <w:rFonts w:ascii="Times New Roman" w:hAnsi="Times New Roman" w:eastAsia="方正仿宋_GBK" w:cs="Times New Roman"/>
          <w:sz w:val="32"/>
          <w:szCs w:val="20"/>
        </w:rPr>
      </w:pPr>
    </w:p>
    <w:p>
      <w:pPr>
        <w:spacing w:line="578" w:lineRule="exact"/>
        <w:jc w:val="center"/>
        <w:rPr>
          <w:rFonts w:ascii="Times New Roman" w:hAnsi="Times New Roman" w:eastAsia="方正黑体_GBK" w:cs="Times New Roman"/>
          <w:sz w:val="32"/>
          <w:szCs w:val="20"/>
        </w:rPr>
      </w:pPr>
      <w:r>
        <w:rPr>
          <w:rFonts w:ascii="Times New Roman" w:hAnsi="Times New Roman" w:eastAsia="方正黑体_GBK" w:cs="Times New Roman"/>
          <w:sz w:val="32"/>
          <w:szCs w:val="20"/>
        </w:rPr>
        <w:t>第三章</w:t>
      </w:r>
      <w:r>
        <w:rPr>
          <w:rFonts w:hint="eastAsia" w:ascii="Times New Roman" w:hAnsi="Times New Roman" w:eastAsia="方正黑体_GBK" w:cs="Times New Roman"/>
          <w:sz w:val="32"/>
          <w:szCs w:val="20"/>
        </w:rPr>
        <w:t xml:space="preserve"> </w:t>
      </w:r>
      <w:r>
        <w:rPr>
          <w:rFonts w:ascii="Times New Roman" w:hAnsi="Times New Roman" w:eastAsia="方正黑体_GBK" w:cs="Times New Roman"/>
          <w:sz w:val="32"/>
          <w:szCs w:val="20"/>
        </w:rPr>
        <w:t>财政支持普惠金融发展示范区奖补</w:t>
      </w:r>
    </w:p>
    <w:p>
      <w:pPr>
        <w:spacing w:line="578" w:lineRule="exact"/>
        <w:ind w:firstLine="640" w:firstLineChars="200"/>
        <w:rPr>
          <w:rFonts w:ascii="Times New Roman" w:hAnsi="Times New Roman" w:eastAsia="方正仿宋_GBK" w:cs="Times New Roman"/>
          <w:sz w:val="32"/>
          <w:szCs w:val="20"/>
        </w:rPr>
      </w:pP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黑体_GBK" w:cs="Times New Roman"/>
          <w:sz w:val="32"/>
          <w:szCs w:val="20"/>
        </w:rPr>
        <w:t>第十</w:t>
      </w:r>
      <w:r>
        <w:rPr>
          <w:rFonts w:hint="eastAsia" w:ascii="Times New Roman" w:hAnsi="Times New Roman" w:eastAsia="方正黑体_GBK" w:cs="Times New Roman"/>
          <w:sz w:val="32"/>
          <w:szCs w:val="20"/>
        </w:rPr>
        <w:t>五</w:t>
      </w:r>
      <w:r>
        <w:rPr>
          <w:rFonts w:ascii="Times New Roman" w:hAnsi="Times New Roman" w:eastAsia="方正黑体_GBK" w:cs="Times New Roman"/>
          <w:sz w:val="32"/>
          <w:szCs w:val="20"/>
        </w:rPr>
        <w:t>条</w:t>
      </w:r>
      <w:r>
        <w:rPr>
          <w:rFonts w:ascii="Times New Roman" w:hAnsi="Times New Roman" w:eastAsia="方正仿宋_GBK" w:cs="Times New Roman"/>
          <w:sz w:val="32"/>
          <w:szCs w:val="20"/>
        </w:rPr>
        <w:t xml:space="preserve"> 为支持区县因地制宜打造各具特色的普惠金融发展示范区，促进形成普惠金融健康发展的长效机制，着力改善小微企业、</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三农</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融资发展环境，</w:t>
      </w:r>
      <w:r>
        <w:rPr>
          <w:rFonts w:hint="eastAsia" w:ascii="Times New Roman" w:hAnsi="Times New Roman" w:eastAsia="方正仿宋_GBK" w:cs="Times New Roman"/>
          <w:sz w:val="32"/>
          <w:szCs w:val="20"/>
        </w:rPr>
        <w:t>财政</w:t>
      </w:r>
      <w:r>
        <w:rPr>
          <w:rFonts w:ascii="Times New Roman" w:hAnsi="Times New Roman" w:eastAsia="方正仿宋_GBK" w:cs="Times New Roman"/>
          <w:sz w:val="32"/>
          <w:szCs w:val="20"/>
        </w:rPr>
        <w:t>安排专项资金用于支持普惠金融发展示范区奖补。</w:t>
      </w: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黑体_GBK" w:cs="Times New Roman"/>
          <w:sz w:val="32"/>
          <w:szCs w:val="20"/>
        </w:rPr>
        <w:t>第十</w:t>
      </w:r>
      <w:r>
        <w:rPr>
          <w:rFonts w:hint="eastAsia" w:ascii="Times New Roman" w:hAnsi="Times New Roman" w:eastAsia="方正黑体_GBK" w:cs="Times New Roman"/>
          <w:sz w:val="32"/>
          <w:szCs w:val="20"/>
        </w:rPr>
        <w:t>六</w:t>
      </w:r>
      <w:r>
        <w:rPr>
          <w:rFonts w:ascii="Times New Roman" w:hAnsi="Times New Roman" w:eastAsia="方正黑体_GBK" w:cs="Times New Roman"/>
          <w:sz w:val="32"/>
          <w:szCs w:val="20"/>
        </w:rPr>
        <w:t>条</w:t>
      </w:r>
      <w:r>
        <w:rPr>
          <w:rFonts w:ascii="Times New Roman" w:hAnsi="Times New Roman" w:eastAsia="方正仿宋_GBK" w:cs="Times New Roman"/>
          <w:sz w:val="32"/>
          <w:szCs w:val="20"/>
        </w:rPr>
        <w:t xml:space="preserve"> </w:t>
      </w:r>
      <w:r>
        <w:rPr>
          <w:rFonts w:hint="eastAsia" w:ascii="Times New Roman" w:hAnsi="Times New Roman" w:eastAsia="方正仿宋_GBK" w:cs="Times New Roman"/>
          <w:sz w:val="32"/>
          <w:szCs w:val="20"/>
        </w:rPr>
        <w:t>市财政局会同市金融监管局、人行重庆市分行、国家金融监管总局重庆监管局每年评选确定</w:t>
      </w:r>
      <w:r>
        <w:rPr>
          <w:rFonts w:ascii="Times New Roman" w:hAnsi="Times New Roman" w:eastAsia="方正仿宋_GBK" w:cs="Times New Roman"/>
          <w:sz w:val="32"/>
          <w:szCs w:val="20"/>
        </w:rPr>
        <w:t>3个示范区</w:t>
      </w:r>
      <w:r>
        <w:rPr>
          <w:rFonts w:hint="eastAsia" w:ascii="Times New Roman" w:hAnsi="Times New Roman" w:eastAsia="方正仿宋_GBK" w:cs="Times New Roman"/>
          <w:sz w:val="32"/>
          <w:szCs w:val="20"/>
        </w:rPr>
        <w:t>。市级财政分档给予</w:t>
      </w:r>
      <w:r>
        <w:rPr>
          <w:rFonts w:ascii="Times New Roman" w:hAnsi="Times New Roman" w:eastAsia="方正仿宋_GBK" w:cs="Times New Roman"/>
          <w:sz w:val="32"/>
          <w:szCs w:val="20"/>
        </w:rPr>
        <w:t>奖补</w:t>
      </w:r>
      <w:r>
        <w:rPr>
          <w:rFonts w:hint="eastAsia" w:ascii="Times New Roman" w:hAnsi="Times New Roman" w:eastAsia="方正仿宋_GBK" w:cs="Times New Roman"/>
          <w:sz w:val="32"/>
          <w:szCs w:val="20"/>
        </w:rPr>
        <w:t>，奖补</w:t>
      </w:r>
      <w:r>
        <w:rPr>
          <w:rFonts w:ascii="Times New Roman" w:hAnsi="Times New Roman" w:eastAsia="方正仿宋_GBK" w:cs="Times New Roman"/>
          <w:sz w:val="32"/>
          <w:szCs w:val="20"/>
        </w:rPr>
        <w:t>标准根据中央评定我市档次确定。</w:t>
      </w:r>
    </w:p>
    <w:tbl>
      <w:tblPr>
        <w:tblStyle w:val="8"/>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2541"/>
        <w:gridCol w:w="4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blHeader/>
          <w:jc w:val="center"/>
        </w:trPr>
        <w:tc>
          <w:tcPr>
            <w:tcW w:w="1809" w:type="dxa"/>
            <w:shd w:val="clear" w:color="auto" w:fill="auto"/>
            <w:vAlign w:val="center"/>
          </w:tcPr>
          <w:p>
            <w:pPr>
              <w:spacing w:line="280" w:lineRule="exact"/>
              <w:jc w:val="center"/>
              <w:rPr>
                <w:rFonts w:ascii="Times New Roman" w:hAnsi="Times New Roman" w:eastAsia="方正黑体_GBK" w:cs="Times New Roman"/>
                <w:sz w:val="24"/>
              </w:rPr>
            </w:pPr>
            <w:r>
              <w:rPr>
                <w:rFonts w:hint="eastAsia" w:ascii="Times New Roman" w:hAnsi="Times New Roman" w:eastAsia="方正黑体_GBK" w:cs="Times New Roman"/>
                <w:sz w:val="24"/>
              </w:rPr>
              <w:t>档次</w:t>
            </w:r>
          </w:p>
        </w:tc>
        <w:tc>
          <w:tcPr>
            <w:tcW w:w="2541" w:type="dxa"/>
            <w:shd w:val="clear" w:color="auto" w:fill="auto"/>
            <w:vAlign w:val="center"/>
          </w:tcPr>
          <w:p>
            <w:pPr>
              <w:spacing w:line="280" w:lineRule="exact"/>
              <w:jc w:val="center"/>
              <w:rPr>
                <w:rFonts w:ascii="Times New Roman" w:hAnsi="Times New Roman" w:eastAsia="方正黑体_GBK" w:cs="Times New Roman"/>
                <w:sz w:val="24"/>
              </w:rPr>
            </w:pPr>
            <w:r>
              <w:rPr>
                <w:rFonts w:hint="eastAsia" w:ascii="Times New Roman" w:hAnsi="Times New Roman" w:eastAsia="方正黑体_GBK" w:cs="Times New Roman"/>
                <w:sz w:val="24"/>
              </w:rPr>
              <w:t>资金安排（万元）</w:t>
            </w:r>
          </w:p>
        </w:tc>
        <w:tc>
          <w:tcPr>
            <w:tcW w:w="4326" w:type="dxa"/>
            <w:shd w:val="clear" w:color="auto" w:fill="auto"/>
            <w:vAlign w:val="center"/>
          </w:tcPr>
          <w:p>
            <w:pPr>
              <w:spacing w:line="280" w:lineRule="exact"/>
              <w:jc w:val="center"/>
              <w:rPr>
                <w:rFonts w:ascii="Times New Roman" w:hAnsi="Times New Roman" w:eastAsia="方正黑体_GBK" w:cs="Times New Roman"/>
                <w:sz w:val="24"/>
              </w:rPr>
            </w:pPr>
            <w:r>
              <w:rPr>
                <w:rFonts w:hint="eastAsia" w:ascii="Times New Roman" w:hAnsi="Times New Roman" w:eastAsia="方正黑体_GBK" w:cs="Times New Roman"/>
                <w:sz w:val="24"/>
              </w:rPr>
              <w:t>示范区资金分配（万元）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vAlign w:val="center"/>
          </w:tcPr>
          <w:p>
            <w:pPr>
              <w:spacing w:line="28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第一档</w:t>
            </w:r>
          </w:p>
        </w:tc>
        <w:tc>
          <w:tcPr>
            <w:tcW w:w="2541" w:type="dxa"/>
            <w:shd w:val="clear" w:color="auto" w:fill="auto"/>
            <w:vAlign w:val="center"/>
          </w:tcPr>
          <w:p>
            <w:pPr>
              <w:spacing w:line="28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10000</w:t>
            </w:r>
          </w:p>
        </w:tc>
        <w:tc>
          <w:tcPr>
            <w:tcW w:w="4326" w:type="dxa"/>
            <w:shd w:val="clear" w:color="auto" w:fill="auto"/>
            <w:vAlign w:val="center"/>
          </w:tcPr>
          <w:p>
            <w:pPr>
              <w:spacing w:line="28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第一名：4000</w:t>
            </w:r>
          </w:p>
          <w:p>
            <w:pPr>
              <w:spacing w:line="28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第二名：3500</w:t>
            </w:r>
          </w:p>
          <w:p>
            <w:pPr>
              <w:spacing w:line="28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第三名：2500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vAlign w:val="center"/>
          </w:tcPr>
          <w:p>
            <w:pPr>
              <w:spacing w:line="28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第二档</w:t>
            </w:r>
          </w:p>
        </w:tc>
        <w:tc>
          <w:tcPr>
            <w:tcW w:w="2541" w:type="dxa"/>
            <w:shd w:val="clear" w:color="auto" w:fill="auto"/>
            <w:vAlign w:val="center"/>
          </w:tcPr>
          <w:p>
            <w:pPr>
              <w:spacing w:line="28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7500</w:t>
            </w:r>
          </w:p>
        </w:tc>
        <w:tc>
          <w:tcPr>
            <w:tcW w:w="4326" w:type="dxa"/>
            <w:shd w:val="clear" w:color="auto" w:fill="auto"/>
            <w:vAlign w:val="center"/>
          </w:tcPr>
          <w:p>
            <w:pPr>
              <w:spacing w:line="28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第一名：3000</w:t>
            </w:r>
          </w:p>
          <w:p>
            <w:pPr>
              <w:spacing w:line="28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第二名：2500</w:t>
            </w:r>
          </w:p>
          <w:p>
            <w:pPr>
              <w:spacing w:line="28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第三名：2000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vAlign w:val="center"/>
          </w:tcPr>
          <w:p>
            <w:pPr>
              <w:spacing w:line="28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第三档</w:t>
            </w:r>
          </w:p>
        </w:tc>
        <w:tc>
          <w:tcPr>
            <w:tcW w:w="2541" w:type="dxa"/>
            <w:shd w:val="clear" w:color="auto" w:fill="auto"/>
            <w:vAlign w:val="center"/>
          </w:tcPr>
          <w:p>
            <w:pPr>
              <w:spacing w:line="28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5000</w:t>
            </w:r>
          </w:p>
        </w:tc>
        <w:tc>
          <w:tcPr>
            <w:tcW w:w="4326" w:type="dxa"/>
            <w:shd w:val="clear" w:color="auto" w:fill="auto"/>
            <w:vAlign w:val="center"/>
          </w:tcPr>
          <w:p>
            <w:pPr>
              <w:spacing w:line="28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第一名：2000</w:t>
            </w:r>
          </w:p>
          <w:p>
            <w:pPr>
              <w:spacing w:line="28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第二名：1750</w:t>
            </w:r>
          </w:p>
          <w:p>
            <w:pPr>
              <w:spacing w:line="28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第三名：1250</w:t>
            </w:r>
          </w:p>
        </w:tc>
      </w:tr>
    </w:tbl>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奖补资金由示范区统筹用于支小支农贷款贴息、贷款风险补偿，以及政府性融资担保机构涉农业务降费奖补、资本金补充、风险补偿等普惠金融方面。</w:t>
      </w: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黑体_GBK" w:cs="Times New Roman"/>
          <w:sz w:val="32"/>
          <w:szCs w:val="20"/>
        </w:rPr>
        <w:t>第</w:t>
      </w:r>
      <w:r>
        <w:rPr>
          <w:rFonts w:hint="eastAsia" w:ascii="Times New Roman" w:hAnsi="Times New Roman" w:eastAsia="方正黑体_GBK" w:cs="Times New Roman"/>
          <w:sz w:val="32"/>
          <w:szCs w:val="20"/>
        </w:rPr>
        <w:t>十七</w:t>
      </w:r>
      <w:r>
        <w:rPr>
          <w:rFonts w:ascii="Times New Roman" w:hAnsi="Times New Roman" w:eastAsia="方正黑体_GBK" w:cs="Times New Roman"/>
          <w:sz w:val="32"/>
          <w:szCs w:val="20"/>
        </w:rPr>
        <w:t>条</w:t>
      </w:r>
      <w:r>
        <w:rPr>
          <w:rFonts w:ascii="Times New Roman" w:hAnsi="Times New Roman" w:eastAsia="方正仿宋_GBK" w:cs="Times New Roman"/>
          <w:sz w:val="32"/>
          <w:szCs w:val="20"/>
        </w:rPr>
        <w:t xml:space="preserve"> 示范区申报和</w:t>
      </w:r>
      <w:r>
        <w:rPr>
          <w:rFonts w:hint="eastAsia" w:ascii="Times New Roman" w:hAnsi="Times New Roman" w:eastAsia="方正仿宋_GBK" w:cs="Times New Roman"/>
          <w:sz w:val="32"/>
          <w:szCs w:val="20"/>
        </w:rPr>
        <w:t>评选</w:t>
      </w: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1.申报。申报工作由区县财政部门联合</w:t>
      </w:r>
      <w:r>
        <w:rPr>
          <w:rFonts w:hint="eastAsia" w:ascii="Times New Roman" w:hAnsi="Times New Roman" w:eastAsia="方正仿宋_GBK" w:cs="Times New Roman"/>
          <w:sz w:val="32"/>
          <w:szCs w:val="20"/>
        </w:rPr>
        <w:t>当地</w:t>
      </w:r>
      <w:r>
        <w:rPr>
          <w:rFonts w:ascii="Times New Roman" w:hAnsi="Times New Roman" w:eastAsia="方正仿宋_GBK" w:cs="Times New Roman"/>
          <w:sz w:val="32"/>
          <w:szCs w:val="20"/>
        </w:rPr>
        <w:t>金融监管部门统一组织实施，申报区县</w:t>
      </w:r>
      <w:r>
        <w:rPr>
          <w:rFonts w:hint="eastAsia" w:ascii="Times New Roman" w:hAnsi="Times New Roman" w:eastAsia="方正仿宋_GBK" w:cs="Times New Roman"/>
          <w:sz w:val="32"/>
          <w:szCs w:val="20"/>
        </w:rPr>
        <w:t>应</w:t>
      </w:r>
      <w:r>
        <w:rPr>
          <w:rFonts w:ascii="Times New Roman" w:hAnsi="Times New Roman" w:eastAsia="方正仿宋_GBK" w:cs="Times New Roman"/>
          <w:sz w:val="32"/>
          <w:szCs w:val="20"/>
        </w:rPr>
        <w:t>立足本地实际编制实施方案，确保立项依据充分、目标内容清晰、</w:t>
      </w:r>
      <w:r>
        <w:rPr>
          <w:rFonts w:hint="eastAsia" w:ascii="Times New Roman" w:hAnsi="Times New Roman" w:eastAsia="方正仿宋_GBK" w:cs="Times New Roman"/>
          <w:sz w:val="32"/>
          <w:szCs w:val="20"/>
        </w:rPr>
        <w:t>工作</w:t>
      </w:r>
      <w:r>
        <w:rPr>
          <w:rFonts w:ascii="Times New Roman" w:hAnsi="Times New Roman" w:eastAsia="方正仿宋_GBK" w:cs="Times New Roman"/>
          <w:sz w:val="32"/>
          <w:szCs w:val="20"/>
        </w:rPr>
        <w:t>措施有效，并于每年</w:t>
      </w:r>
      <w:r>
        <w:rPr>
          <w:rFonts w:hint="eastAsia" w:ascii="Times New Roman" w:hAnsi="Times New Roman" w:eastAsia="方正仿宋_GBK" w:cs="Times New Roman"/>
          <w:sz w:val="32"/>
          <w:szCs w:val="20"/>
        </w:rPr>
        <w:t>2</w:t>
      </w:r>
      <w:r>
        <w:rPr>
          <w:rFonts w:ascii="Times New Roman" w:hAnsi="Times New Roman" w:eastAsia="方正仿宋_GBK" w:cs="Times New Roman"/>
          <w:sz w:val="32"/>
          <w:szCs w:val="20"/>
        </w:rPr>
        <w:t>月</w:t>
      </w:r>
      <w:r>
        <w:rPr>
          <w:rFonts w:hint="eastAsia" w:ascii="Times New Roman" w:hAnsi="Times New Roman" w:eastAsia="方正仿宋_GBK" w:cs="Times New Roman"/>
          <w:sz w:val="32"/>
          <w:szCs w:val="20"/>
        </w:rPr>
        <w:t>28</w:t>
      </w:r>
      <w:r>
        <w:rPr>
          <w:rFonts w:ascii="Times New Roman" w:hAnsi="Times New Roman" w:eastAsia="方正仿宋_GBK" w:cs="Times New Roman"/>
          <w:sz w:val="32"/>
          <w:szCs w:val="20"/>
        </w:rPr>
        <w:t>日前将申报文件（一式5份）及PDF扫描版报送市财政局，内容包括但不限于：</w:t>
      </w: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（1）示范区基本情况。如近</w:t>
      </w:r>
      <w:r>
        <w:rPr>
          <w:rFonts w:hint="eastAsia" w:ascii="Times New Roman" w:hAnsi="Times New Roman" w:eastAsia="方正仿宋_GBK" w:cs="Times New Roman"/>
          <w:sz w:val="32"/>
          <w:szCs w:val="20"/>
        </w:rPr>
        <w:t>三</w:t>
      </w:r>
      <w:r>
        <w:rPr>
          <w:rFonts w:ascii="Times New Roman" w:hAnsi="Times New Roman" w:eastAsia="方正仿宋_GBK" w:cs="Times New Roman"/>
          <w:sz w:val="32"/>
          <w:szCs w:val="20"/>
        </w:rPr>
        <w:t>年普惠金融发展情况、</w:t>
      </w:r>
      <w:r>
        <w:rPr>
          <w:rFonts w:hint="eastAsia" w:ascii="Times New Roman" w:hAnsi="Times New Roman" w:eastAsia="方正仿宋_GBK" w:cs="Times New Roman"/>
          <w:sz w:val="32"/>
          <w:szCs w:val="20"/>
        </w:rPr>
        <w:t>工作措施、主要成效等；</w:t>
      </w: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（2）实施工作方案</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如拟采取支持普惠金融发展的具体举措、奖补资金使用计划、本级资金预算安排、预期成效等</w:t>
      </w:r>
      <w:r>
        <w:rPr>
          <w:rFonts w:hint="eastAsia" w:ascii="Times New Roman" w:hAnsi="Times New Roman" w:eastAsia="方正仿宋_GBK" w:cs="Times New Roman"/>
          <w:sz w:val="32"/>
          <w:szCs w:val="20"/>
        </w:rPr>
        <w:t>；</w:t>
      </w: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（3）其他相关表格。如普惠金融工作目标</w:t>
      </w:r>
      <w:r>
        <w:rPr>
          <w:rFonts w:hint="eastAsia" w:ascii="Times New Roman" w:hAnsi="Times New Roman" w:eastAsia="方正仿宋_GBK" w:cs="Times New Roman"/>
          <w:sz w:val="32"/>
          <w:szCs w:val="20"/>
        </w:rPr>
        <w:t>表、</w:t>
      </w:r>
      <w:r>
        <w:rPr>
          <w:rFonts w:ascii="Times New Roman" w:hAnsi="Times New Roman" w:eastAsia="方正仿宋_GBK" w:cs="Times New Roman"/>
          <w:sz w:val="32"/>
          <w:szCs w:val="20"/>
        </w:rPr>
        <w:t>部门责任分工表、评审指标表（附表</w:t>
      </w:r>
      <w:r>
        <w:rPr>
          <w:rFonts w:hint="eastAsia" w:ascii="Times New Roman" w:hAnsi="Times New Roman" w:eastAsia="方正仿宋_GBK" w:cs="Times New Roman"/>
          <w:sz w:val="32"/>
          <w:szCs w:val="20"/>
        </w:rPr>
        <w:t>4</w:t>
      </w:r>
      <w:r>
        <w:rPr>
          <w:rFonts w:ascii="Times New Roman" w:hAnsi="Times New Roman" w:eastAsia="方正仿宋_GBK" w:cs="Times New Roman"/>
          <w:sz w:val="32"/>
          <w:szCs w:val="20"/>
        </w:rPr>
        <w:t>）</w:t>
      </w:r>
      <w:r>
        <w:rPr>
          <w:rFonts w:hint="eastAsia" w:ascii="Times New Roman" w:hAnsi="Times New Roman" w:eastAsia="方正仿宋_GBK" w:cs="Times New Roman"/>
          <w:sz w:val="32"/>
          <w:szCs w:val="20"/>
        </w:rPr>
        <w:t>等。</w:t>
      </w: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逾期未申报视同放弃，市财政局不再受理。</w:t>
      </w: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2.评审。市财政局汇总申报资料后，于每年</w:t>
      </w:r>
      <w:r>
        <w:rPr>
          <w:rFonts w:hint="eastAsia" w:ascii="Times New Roman" w:hAnsi="Times New Roman" w:eastAsia="方正仿宋_GBK" w:cs="Times New Roman"/>
          <w:sz w:val="32"/>
          <w:szCs w:val="20"/>
        </w:rPr>
        <w:t>3</w:t>
      </w:r>
      <w:r>
        <w:rPr>
          <w:rFonts w:ascii="Times New Roman" w:hAnsi="Times New Roman" w:eastAsia="方正仿宋_GBK" w:cs="Times New Roman"/>
          <w:sz w:val="32"/>
          <w:szCs w:val="20"/>
        </w:rPr>
        <w:t>月15日前组织市金融监管局、人行重庆</w:t>
      </w:r>
      <w:r>
        <w:rPr>
          <w:rFonts w:hint="eastAsia" w:ascii="Times New Roman" w:hAnsi="Times New Roman" w:eastAsia="方正仿宋_GBK" w:cs="Times New Roman"/>
          <w:sz w:val="32"/>
          <w:szCs w:val="20"/>
        </w:rPr>
        <w:t>市分行</w:t>
      </w:r>
      <w:r>
        <w:rPr>
          <w:rFonts w:ascii="Times New Roman" w:hAnsi="Times New Roman" w:eastAsia="方正仿宋_GBK" w:cs="Times New Roman"/>
          <w:sz w:val="32"/>
          <w:szCs w:val="20"/>
        </w:rPr>
        <w:t>、国家金融监督管理总局重庆监管局</w:t>
      </w:r>
      <w:r>
        <w:rPr>
          <w:rFonts w:hint="eastAsia" w:ascii="Times New Roman" w:hAnsi="Times New Roman" w:eastAsia="方正仿宋_GBK" w:cs="Times New Roman"/>
          <w:sz w:val="32"/>
          <w:szCs w:val="20"/>
        </w:rPr>
        <w:t>进行</w:t>
      </w:r>
      <w:r>
        <w:rPr>
          <w:rFonts w:ascii="Times New Roman" w:hAnsi="Times New Roman" w:eastAsia="方正仿宋_GBK" w:cs="Times New Roman"/>
          <w:sz w:val="32"/>
          <w:szCs w:val="20"/>
        </w:rPr>
        <w:t>书面评</w:t>
      </w:r>
      <w:r>
        <w:rPr>
          <w:rFonts w:hint="eastAsia" w:ascii="Times New Roman" w:hAnsi="Times New Roman" w:eastAsia="方正仿宋_GBK" w:cs="Times New Roman"/>
          <w:sz w:val="32"/>
          <w:szCs w:val="20"/>
        </w:rPr>
        <w:t>选</w:t>
      </w:r>
      <w:r>
        <w:rPr>
          <w:rFonts w:ascii="Times New Roman" w:hAnsi="Times New Roman" w:eastAsia="方正仿宋_GBK" w:cs="Times New Roman"/>
          <w:sz w:val="32"/>
          <w:szCs w:val="20"/>
        </w:rPr>
        <w:t>。</w:t>
      </w: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3.公开。示范区确定后，市财政局将对评选结果予以公开，</w:t>
      </w:r>
      <w:r>
        <w:rPr>
          <w:rFonts w:hint="eastAsia" w:ascii="Times New Roman" w:hAnsi="Times New Roman" w:eastAsia="方正仿宋_GBK" w:cs="Times New Roman"/>
          <w:sz w:val="32"/>
          <w:szCs w:val="20"/>
        </w:rPr>
        <w:t>按规定</w:t>
      </w:r>
      <w:r>
        <w:rPr>
          <w:rFonts w:ascii="Times New Roman" w:hAnsi="Times New Roman" w:eastAsia="方正仿宋_GBK" w:cs="Times New Roman"/>
          <w:sz w:val="32"/>
          <w:szCs w:val="20"/>
        </w:rPr>
        <w:t>报送财政部。</w:t>
      </w: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黑体_GBK" w:cs="Times New Roman"/>
          <w:sz w:val="32"/>
          <w:szCs w:val="20"/>
        </w:rPr>
        <w:t>第十</w:t>
      </w:r>
      <w:r>
        <w:rPr>
          <w:rFonts w:hint="eastAsia" w:ascii="Times New Roman" w:hAnsi="Times New Roman" w:eastAsia="方正黑体_GBK" w:cs="Times New Roman"/>
          <w:sz w:val="32"/>
          <w:szCs w:val="20"/>
        </w:rPr>
        <w:t>八</w:t>
      </w:r>
      <w:r>
        <w:rPr>
          <w:rFonts w:ascii="Times New Roman" w:hAnsi="Times New Roman" w:eastAsia="方正黑体_GBK" w:cs="Times New Roman"/>
          <w:sz w:val="32"/>
          <w:szCs w:val="20"/>
        </w:rPr>
        <w:t>条</w:t>
      </w:r>
      <w:r>
        <w:rPr>
          <w:rFonts w:ascii="Times New Roman" w:hAnsi="Times New Roman" w:eastAsia="方正仿宋_GBK" w:cs="Times New Roman"/>
          <w:sz w:val="32"/>
          <w:szCs w:val="20"/>
        </w:rPr>
        <w:t xml:space="preserve"> 示范区</w:t>
      </w:r>
      <w:r>
        <w:rPr>
          <w:rFonts w:hint="eastAsia" w:ascii="Times New Roman" w:hAnsi="Times New Roman" w:eastAsia="方正仿宋_GBK" w:cs="Times New Roman"/>
          <w:sz w:val="32"/>
          <w:szCs w:val="20"/>
        </w:rPr>
        <w:t>评选</w:t>
      </w:r>
      <w:r>
        <w:rPr>
          <w:rFonts w:ascii="Times New Roman" w:hAnsi="Times New Roman" w:eastAsia="方正仿宋_GBK" w:cs="Times New Roman"/>
          <w:sz w:val="32"/>
          <w:szCs w:val="20"/>
        </w:rPr>
        <w:t>采取定性和定量评价相结合的方式。</w:t>
      </w: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1.定量指标。定量指标包括基数指标和变动指标。</w:t>
      </w: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基数指标包括普惠型小微企业贷款余额、普惠型农户生产经营性贷款余额、新发放普惠型小微企业贷款平均利率、政府性融资担保业务余额、小微企业信用贷款余额。</w:t>
      </w: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变动指标包括普惠型小微企业贷款余额同比增速、普惠型农户生产经营性贷款余额同比增速、新发放普惠型小微企业贷款平均利率同比降幅、政府性融资担保业务余额同比增速、小微企业信用贷款余额同比增速。</w:t>
      </w: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2.定性指标。包括区域经济发展、产业发展、金融发展情况，区域近年来支持普惠小微、</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三农</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发展情况，区域财金联动、金融机构体系建设情况，实施方案可行性等。</w:t>
      </w: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3.加减分事项。若申报区县为国家乡村振兴重点帮扶县、中国人民银行牵头确定的普惠金融改革试验区、</w:t>
      </w:r>
      <w:r>
        <w:rPr>
          <w:rFonts w:hint="eastAsia" w:ascii="Times New Roman" w:hAnsi="Times New Roman" w:eastAsia="方正仿宋_GBK" w:cs="Times New Roman"/>
          <w:sz w:val="32"/>
          <w:szCs w:val="20"/>
        </w:rPr>
        <w:t>国家</w:t>
      </w:r>
      <w:r>
        <w:rPr>
          <w:rFonts w:ascii="Times New Roman" w:hAnsi="Times New Roman" w:eastAsia="方正仿宋_GBK" w:cs="Times New Roman"/>
          <w:sz w:val="32"/>
          <w:szCs w:val="20"/>
        </w:rPr>
        <w:t>金融监管总局确定的金融服务乡村振兴或中小微企业典型地区及试验区，评审总分加1分/个，累计加分不超过2分；若上一年度发生重大金融风险事件，发生一件扣2分。</w:t>
      </w:r>
    </w:p>
    <w:p>
      <w:pPr>
        <w:spacing w:line="578"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根据</w:t>
      </w:r>
      <w:r>
        <w:rPr>
          <w:rFonts w:ascii="Times New Roman" w:hAnsi="Times New Roman" w:eastAsia="方正仿宋_GBK" w:cs="Times New Roman"/>
          <w:sz w:val="32"/>
          <w:szCs w:val="20"/>
        </w:rPr>
        <w:t>得分排名确定奖补档次，若存在总分相同的区县，则按普惠型小微企业贷款余额</w:t>
      </w:r>
      <w:r>
        <w:rPr>
          <w:rFonts w:hint="eastAsia" w:ascii="Times New Roman" w:hAnsi="Times New Roman" w:eastAsia="方正仿宋_GBK" w:cs="Times New Roman"/>
          <w:sz w:val="32"/>
          <w:szCs w:val="20"/>
        </w:rPr>
        <w:t>确定名次</w:t>
      </w:r>
      <w:r>
        <w:rPr>
          <w:rFonts w:ascii="Times New Roman" w:hAnsi="Times New Roman" w:eastAsia="方正仿宋_GBK" w:cs="Times New Roman"/>
          <w:sz w:val="32"/>
          <w:szCs w:val="20"/>
        </w:rPr>
        <w:t>。</w:t>
      </w:r>
    </w:p>
    <w:p>
      <w:pPr>
        <w:spacing w:line="578" w:lineRule="exact"/>
        <w:ind w:firstLine="640" w:firstLineChars="200"/>
        <w:rPr>
          <w:rFonts w:ascii="Times New Roman" w:hAnsi="Times New Roman" w:eastAsia="方正仿宋_GBK" w:cs="Times New Roman"/>
          <w:sz w:val="32"/>
          <w:szCs w:val="20"/>
        </w:rPr>
      </w:pPr>
    </w:p>
    <w:p>
      <w:pPr>
        <w:spacing w:line="578" w:lineRule="exact"/>
        <w:jc w:val="center"/>
        <w:rPr>
          <w:rFonts w:ascii="Times New Roman" w:hAnsi="Times New Roman" w:eastAsia="方正黑体_GBK" w:cs="Times New Roman"/>
          <w:sz w:val="32"/>
          <w:szCs w:val="20"/>
        </w:rPr>
      </w:pPr>
      <w:r>
        <w:rPr>
          <w:rFonts w:ascii="Times New Roman" w:hAnsi="Times New Roman" w:eastAsia="方正黑体_GBK" w:cs="Times New Roman"/>
          <w:sz w:val="32"/>
          <w:szCs w:val="20"/>
        </w:rPr>
        <w:t>第四章 农村金融机构定向费用奖补</w:t>
      </w:r>
    </w:p>
    <w:p>
      <w:pPr>
        <w:spacing w:line="578" w:lineRule="exact"/>
        <w:ind w:firstLine="640" w:firstLineChars="200"/>
        <w:rPr>
          <w:rFonts w:ascii="Times New Roman" w:hAnsi="Times New Roman" w:eastAsia="方正仿宋_GBK" w:cs="Times New Roman"/>
          <w:sz w:val="32"/>
          <w:szCs w:val="20"/>
        </w:rPr>
      </w:pP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黑体_GBK" w:cs="Times New Roman"/>
          <w:sz w:val="32"/>
          <w:szCs w:val="20"/>
        </w:rPr>
        <w:t>第</w:t>
      </w:r>
      <w:r>
        <w:rPr>
          <w:rFonts w:hint="eastAsia" w:ascii="Times New Roman" w:hAnsi="Times New Roman" w:eastAsia="方正黑体_GBK" w:cs="Times New Roman"/>
          <w:sz w:val="32"/>
          <w:szCs w:val="20"/>
        </w:rPr>
        <w:t>十九</w:t>
      </w:r>
      <w:r>
        <w:rPr>
          <w:rFonts w:ascii="Times New Roman" w:hAnsi="Times New Roman" w:eastAsia="方正黑体_GBK" w:cs="Times New Roman"/>
          <w:sz w:val="32"/>
          <w:szCs w:val="20"/>
        </w:rPr>
        <w:t>条</w:t>
      </w:r>
      <w:r>
        <w:rPr>
          <w:rFonts w:ascii="Times New Roman" w:hAnsi="Times New Roman" w:eastAsia="方正仿宋_GBK" w:cs="Times New Roman"/>
          <w:sz w:val="32"/>
          <w:szCs w:val="20"/>
        </w:rPr>
        <w:t xml:space="preserve"> 为引导和鼓励农村金融机构强化农村金融服务，加大农户小额信用贷款投放，安排专项资金用于对符合条件的农村金融机构给予一定奖补。</w:t>
      </w: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黑体_GBK" w:cs="Times New Roman"/>
          <w:sz w:val="32"/>
          <w:szCs w:val="20"/>
        </w:rPr>
        <w:t>第二十条</w:t>
      </w:r>
      <w:r>
        <w:rPr>
          <w:rFonts w:ascii="Times New Roman" w:hAnsi="Times New Roman" w:eastAsia="方正仿宋_GBK" w:cs="Times New Roman"/>
          <w:sz w:val="32"/>
          <w:szCs w:val="20"/>
        </w:rPr>
        <w:t xml:space="preserve"> 本办法支持的农村金融机构，是指依法设立并取得持牌资格的农村商业银行、农村信用社、村镇银行、贷款公司、农村资金互助社。</w:t>
      </w: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黑体_GBK" w:cs="Times New Roman"/>
          <w:sz w:val="32"/>
          <w:szCs w:val="20"/>
        </w:rPr>
        <w:t>第二十</w:t>
      </w:r>
      <w:r>
        <w:rPr>
          <w:rFonts w:hint="eastAsia" w:ascii="Times New Roman" w:hAnsi="Times New Roman" w:eastAsia="方正黑体_GBK" w:cs="Times New Roman"/>
          <w:sz w:val="32"/>
          <w:szCs w:val="20"/>
        </w:rPr>
        <w:t>一</w:t>
      </w:r>
      <w:r>
        <w:rPr>
          <w:rFonts w:ascii="Times New Roman" w:hAnsi="Times New Roman" w:eastAsia="方正黑体_GBK" w:cs="Times New Roman"/>
          <w:sz w:val="32"/>
          <w:szCs w:val="20"/>
        </w:rPr>
        <w:t>条</w:t>
      </w:r>
      <w:r>
        <w:rPr>
          <w:rFonts w:ascii="Times New Roman" w:hAnsi="Times New Roman" w:eastAsia="方正仿宋_GBK" w:cs="Times New Roman"/>
          <w:sz w:val="32"/>
          <w:szCs w:val="20"/>
        </w:rPr>
        <w:t xml:space="preserve"> 对符合以下条件的农村金融机构，可享受奖补支持：</w:t>
      </w: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（一）当年农户小额信用贷款平均余额同比增长；</w:t>
      </w: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（二）年均存贷比高于50%（含50%）；</w:t>
      </w: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（三）当年涉农贷款和小微企业贷款平均余额占全部贷款平均余额的比例不低于70%；</w:t>
      </w: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（四）</w:t>
      </w:r>
      <w:r>
        <w:rPr>
          <w:rFonts w:hint="eastAsia" w:ascii="Times New Roman" w:hAnsi="Times New Roman" w:eastAsia="方正仿宋_GBK" w:cs="Times New Roman"/>
          <w:sz w:val="32"/>
          <w:szCs w:val="20"/>
        </w:rPr>
        <w:t>市级及以上</w:t>
      </w:r>
      <w:r>
        <w:rPr>
          <w:rFonts w:ascii="Times New Roman" w:hAnsi="Times New Roman" w:eastAsia="方正仿宋_GBK" w:cs="Times New Roman"/>
          <w:sz w:val="32"/>
          <w:szCs w:val="20"/>
        </w:rPr>
        <w:t>财政部门规定的其他条件。</w:t>
      </w: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黑体_GBK" w:cs="Times New Roman"/>
          <w:sz w:val="32"/>
          <w:szCs w:val="20"/>
        </w:rPr>
        <w:t>第二十</w:t>
      </w:r>
      <w:r>
        <w:rPr>
          <w:rFonts w:hint="eastAsia" w:ascii="Times New Roman" w:hAnsi="Times New Roman" w:eastAsia="方正黑体_GBK" w:cs="Times New Roman"/>
          <w:sz w:val="32"/>
          <w:szCs w:val="20"/>
        </w:rPr>
        <w:t>二</w:t>
      </w:r>
      <w:r>
        <w:rPr>
          <w:rFonts w:ascii="Times New Roman" w:hAnsi="Times New Roman" w:eastAsia="方正黑体_GBK" w:cs="Times New Roman"/>
          <w:sz w:val="32"/>
          <w:szCs w:val="20"/>
        </w:rPr>
        <w:t>条</w:t>
      </w:r>
      <w:r>
        <w:rPr>
          <w:rFonts w:ascii="Times New Roman" w:hAnsi="Times New Roman" w:eastAsia="方正仿宋_GBK" w:cs="Times New Roman"/>
          <w:sz w:val="32"/>
          <w:szCs w:val="20"/>
        </w:rPr>
        <w:t xml:space="preserve"> </w:t>
      </w:r>
      <w:r>
        <w:rPr>
          <w:rFonts w:hint="eastAsia" w:ascii="Times New Roman" w:hAnsi="Times New Roman" w:eastAsia="方正仿宋_GBK" w:cs="Times New Roman"/>
          <w:sz w:val="32"/>
          <w:szCs w:val="20"/>
        </w:rPr>
        <w:t>根据</w:t>
      </w:r>
      <w:r>
        <w:rPr>
          <w:rFonts w:ascii="Times New Roman" w:hAnsi="Times New Roman" w:eastAsia="方正仿宋_GBK" w:cs="Times New Roman"/>
          <w:sz w:val="32"/>
          <w:szCs w:val="20"/>
        </w:rPr>
        <w:t>符合条件的农村金融机构发放的农户小额信用贷款</w:t>
      </w:r>
      <w:r>
        <w:rPr>
          <w:rFonts w:hint="eastAsia" w:ascii="Times New Roman" w:hAnsi="Times New Roman" w:eastAsia="方正仿宋_GBK" w:cs="Times New Roman"/>
          <w:sz w:val="32"/>
          <w:szCs w:val="20"/>
        </w:rPr>
        <w:t>额分配奖补</w:t>
      </w:r>
      <w:r>
        <w:rPr>
          <w:rFonts w:ascii="Times New Roman" w:hAnsi="Times New Roman" w:eastAsia="方正仿宋_GBK" w:cs="Times New Roman"/>
          <w:sz w:val="32"/>
          <w:szCs w:val="20"/>
        </w:rPr>
        <w:t>资金，奖补资金纳入农村金融机构收入统一核算。</w:t>
      </w: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黑体_GBK" w:cs="Times New Roman"/>
          <w:sz w:val="32"/>
          <w:szCs w:val="20"/>
        </w:rPr>
        <w:t>第二十</w:t>
      </w:r>
      <w:r>
        <w:rPr>
          <w:rFonts w:hint="eastAsia" w:ascii="Times New Roman" w:hAnsi="Times New Roman" w:eastAsia="方正黑体_GBK" w:cs="Times New Roman"/>
          <w:sz w:val="32"/>
          <w:szCs w:val="20"/>
        </w:rPr>
        <w:t>三</w:t>
      </w:r>
      <w:r>
        <w:rPr>
          <w:rFonts w:ascii="Times New Roman" w:hAnsi="Times New Roman" w:eastAsia="方正黑体_GBK" w:cs="Times New Roman"/>
          <w:sz w:val="32"/>
          <w:szCs w:val="20"/>
        </w:rPr>
        <w:t>条</w:t>
      </w:r>
      <w:r>
        <w:rPr>
          <w:rFonts w:ascii="Times New Roman" w:hAnsi="Times New Roman" w:eastAsia="方正仿宋_GBK" w:cs="Times New Roman"/>
          <w:sz w:val="32"/>
          <w:szCs w:val="20"/>
        </w:rPr>
        <w:t xml:space="preserve"> 本章所称存（贷）款平均余额，是指农村金融机构在年度内每个月末存（贷）款余额的平均值。</w:t>
      </w: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本章所称年均存贷比，是指金融机构当年的贷款平均余额与存款平均余额之比。</w:t>
      </w: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本章所称农户小额信用贷款是以农户信誉为保证，在核定的额度和期限内对农户发放的小额信用贷款。</w:t>
      </w: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本章所称月末贷款余额统计口径以中国人民银行金融统计制度及相关规定为准，农户小额信用贷款、涉农贷款的统计口径以中国人民银行涉农贷款专项统计制度规定为准。</w:t>
      </w: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本章所称月末贷款余额、涉农贷款余额，均不包括金融机构的票据贴现、对非存款类金融机构的拆放款项，以及自</w:t>
      </w:r>
      <w:r>
        <w:rPr>
          <w:rFonts w:hint="eastAsia" w:ascii="Times New Roman" w:hAnsi="Times New Roman" w:eastAsia="方正仿宋_GBK" w:cs="Times New Roman"/>
          <w:sz w:val="32"/>
          <w:szCs w:val="20"/>
        </w:rPr>
        <w:t>上一年度</w:t>
      </w:r>
      <w:r>
        <w:rPr>
          <w:rFonts w:ascii="Times New Roman" w:hAnsi="Times New Roman" w:eastAsia="方正仿宋_GBK" w:cs="Times New Roman"/>
          <w:sz w:val="32"/>
          <w:szCs w:val="20"/>
        </w:rPr>
        <w:t>度开始以来从其他金融机构受让的信贷资产。</w:t>
      </w: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本章所称小微企业，是指属于现行中小企业划型标准规定的小型、微型企业。</w:t>
      </w:r>
    </w:p>
    <w:p>
      <w:pPr>
        <w:spacing w:line="578" w:lineRule="exact"/>
        <w:ind w:firstLine="640" w:firstLineChars="200"/>
        <w:rPr>
          <w:rFonts w:ascii="Times New Roman" w:hAnsi="Times New Roman" w:eastAsia="方正仿宋_GBK" w:cs="Times New Roman"/>
          <w:sz w:val="32"/>
          <w:szCs w:val="20"/>
        </w:rPr>
      </w:pPr>
    </w:p>
    <w:p>
      <w:pPr>
        <w:spacing w:line="578" w:lineRule="exact"/>
        <w:jc w:val="center"/>
        <w:rPr>
          <w:rFonts w:ascii="Times New Roman" w:hAnsi="Times New Roman" w:eastAsia="方正黑体_GBK" w:cs="Times New Roman"/>
          <w:sz w:val="32"/>
          <w:szCs w:val="20"/>
        </w:rPr>
      </w:pPr>
      <w:r>
        <w:rPr>
          <w:rFonts w:ascii="Times New Roman" w:hAnsi="Times New Roman" w:eastAsia="方正黑体_GBK" w:cs="Times New Roman"/>
          <w:sz w:val="32"/>
          <w:szCs w:val="20"/>
        </w:rPr>
        <w:t>第五章 资金</w:t>
      </w:r>
      <w:r>
        <w:rPr>
          <w:rFonts w:hint="eastAsia" w:ascii="Times New Roman" w:hAnsi="Times New Roman" w:eastAsia="方正黑体_GBK" w:cs="Times New Roman"/>
          <w:sz w:val="32"/>
          <w:szCs w:val="20"/>
        </w:rPr>
        <w:t>申报与</w:t>
      </w:r>
      <w:r>
        <w:rPr>
          <w:rFonts w:ascii="Times New Roman" w:hAnsi="Times New Roman" w:eastAsia="方正黑体_GBK" w:cs="Times New Roman"/>
          <w:sz w:val="32"/>
          <w:szCs w:val="20"/>
        </w:rPr>
        <w:t>分配</w:t>
      </w:r>
    </w:p>
    <w:p>
      <w:pPr>
        <w:spacing w:line="578" w:lineRule="exact"/>
        <w:ind w:firstLine="640" w:firstLineChars="200"/>
        <w:rPr>
          <w:rFonts w:ascii="Times New Roman" w:hAnsi="Times New Roman" w:eastAsia="方正仿宋_GBK" w:cs="Times New Roman"/>
          <w:sz w:val="32"/>
          <w:szCs w:val="20"/>
        </w:rPr>
      </w:pP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黑体_GBK" w:cs="Times New Roman"/>
          <w:sz w:val="32"/>
          <w:szCs w:val="20"/>
        </w:rPr>
        <w:t>第二十</w:t>
      </w:r>
      <w:r>
        <w:rPr>
          <w:rFonts w:hint="eastAsia" w:ascii="Times New Roman" w:hAnsi="Times New Roman" w:eastAsia="方正黑体_GBK" w:cs="Times New Roman"/>
          <w:sz w:val="32"/>
          <w:szCs w:val="20"/>
        </w:rPr>
        <w:t>四</w:t>
      </w:r>
      <w:r>
        <w:rPr>
          <w:rFonts w:ascii="Times New Roman" w:hAnsi="Times New Roman" w:eastAsia="方正黑体_GBK" w:cs="Times New Roman"/>
          <w:sz w:val="32"/>
          <w:szCs w:val="20"/>
        </w:rPr>
        <w:t>条</w:t>
      </w:r>
      <w:r>
        <w:rPr>
          <w:rFonts w:ascii="Times New Roman" w:hAnsi="Times New Roman" w:eastAsia="方正仿宋_GBK" w:cs="Times New Roman"/>
          <w:sz w:val="32"/>
          <w:szCs w:val="20"/>
        </w:rPr>
        <w:t xml:space="preserve"> 每年2月15日前，区县财政部门</w:t>
      </w:r>
      <w:r>
        <w:rPr>
          <w:rFonts w:hint="eastAsia" w:ascii="Times New Roman" w:hAnsi="Times New Roman" w:eastAsia="方正仿宋_GBK" w:cs="Times New Roman"/>
          <w:sz w:val="32"/>
          <w:szCs w:val="20"/>
        </w:rPr>
        <w:t>应向市财政局</w:t>
      </w:r>
      <w:r>
        <w:rPr>
          <w:rFonts w:ascii="Times New Roman" w:hAnsi="Times New Roman" w:eastAsia="方正仿宋_GBK" w:cs="Times New Roman"/>
          <w:sz w:val="32"/>
          <w:szCs w:val="20"/>
        </w:rPr>
        <w:t>上报</w:t>
      </w:r>
      <w:r>
        <w:rPr>
          <w:rFonts w:hint="eastAsia" w:ascii="Times New Roman" w:hAnsi="Times New Roman" w:eastAsia="方正仿宋_GBK" w:cs="Times New Roman"/>
          <w:sz w:val="32"/>
          <w:szCs w:val="20"/>
        </w:rPr>
        <w:t>上一年度专项资金使用情况报告和下一年度专项资金</w:t>
      </w:r>
      <w:r>
        <w:rPr>
          <w:rFonts w:ascii="Times New Roman" w:hAnsi="Times New Roman" w:eastAsia="方正仿宋_GBK" w:cs="Times New Roman"/>
          <w:sz w:val="32"/>
          <w:szCs w:val="20"/>
        </w:rPr>
        <w:t>申报材料</w:t>
      </w:r>
      <w:r>
        <w:rPr>
          <w:rFonts w:hint="eastAsia" w:ascii="Times New Roman" w:hAnsi="Times New Roman" w:eastAsia="方正仿宋_GBK" w:cs="Times New Roman"/>
          <w:sz w:val="32"/>
          <w:szCs w:val="20"/>
        </w:rPr>
        <w:t>。</w:t>
      </w:r>
    </w:p>
    <w:p>
      <w:pPr>
        <w:spacing w:line="578"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上一年度专项资金使用情况报告</w:t>
      </w:r>
      <w:r>
        <w:rPr>
          <w:rFonts w:ascii="Times New Roman" w:hAnsi="Times New Roman" w:eastAsia="方正仿宋_GBK" w:cs="Times New Roman"/>
          <w:sz w:val="32"/>
          <w:szCs w:val="20"/>
        </w:rPr>
        <w:t>包括</w:t>
      </w:r>
      <w:r>
        <w:rPr>
          <w:rFonts w:hint="eastAsia" w:ascii="Times New Roman" w:hAnsi="Times New Roman" w:eastAsia="方正仿宋_GBK" w:cs="Times New Roman"/>
          <w:sz w:val="32"/>
          <w:szCs w:val="20"/>
        </w:rPr>
        <w:t>：上一年度</w:t>
      </w:r>
      <w:r>
        <w:rPr>
          <w:rFonts w:ascii="Times New Roman" w:hAnsi="Times New Roman" w:eastAsia="方正仿宋_GBK" w:cs="Times New Roman"/>
          <w:sz w:val="32"/>
          <w:szCs w:val="20"/>
        </w:rPr>
        <w:t>专项资金使用情况报告、普惠金融发展专项资金</w:t>
      </w:r>
      <w:r>
        <w:rPr>
          <w:rFonts w:hint="eastAsia" w:ascii="Times New Roman" w:hAnsi="Times New Roman" w:eastAsia="方正仿宋_GBK" w:cs="Times New Roman"/>
          <w:sz w:val="32"/>
          <w:szCs w:val="20"/>
        </w:rPr>
        <w:t>绩效自评表（附表1）。上一年度</w:t>
      </w:r>
      <w:r>
        <w:rPr>
          <w:rFonts w:ascii="Times New Roman" w:hAnsi="Times New Roman" w:eastAsia="方正仿宋_GBK" w:cs="Times New Roman"/>
          <w:sz w:val="32"/>
          <w:szCs w:val="20"/>
        </w:rPr>
        <w:t>为普惠金融示范区的区县</w:t>
      </w:r>
      <w:r>
        <w:rPr>
          <w:rFonts w:hint="eastAsia" w:ascii="Times New Roman" w:hAnsi="Times New Roman" w:eastAsia="方正仿宋_GBK" w:cs="Times New Roman"/>
          <w:sz w:val="32"/>
          <w:szCs w:val="20"/>
        </w:rPr>
        <w:t>应同步</w:t>
      </w:r>
      <w:r>
        <w:rPr>
          <w:rFonts w:ascii="Times New Roman" w:hAnsi="Times New Roman" w:eastAsia="方正仿宋_GBK" w:cs="Times New Roman"/>
          <w:sz w:val="32"/>
          <w:szCs w:val="20"/>
        </w:rPr>
        <w:t>报送</w:t>
      </w:r>
      <w:r>
        <w:rPr>
          <w:rFonts w:hint="eastAsia" w:ascii="Times New Roman" w:hAnsi="Times New Roman" w:eastAsia="方正仿宋_GBK" w:cs="Times New Roman"/>
          <w:sz w:val="32"/>
          <w:szCs w:val="20"/>
        </w:rPr>
        <w:t>上一年度</w:t>
      </w:r>
      <w:r>
        <w:rPr>
          <w:rFonts w:ascii="Times New Roman" w:hAnsi="Times New Roman" w:eastAsia="方正仿宋_GBK" w:cs="Times New Roman"/>
          <w:sz w:val="32"/>
          <w:szCs w:val="20"/>
        </w:rPr>
        <w:t>普惠金融示范区绩效考核表及相关工作开展情况、绩效目标完成情况及其他</w:t>
      </w:r>
      <w:r>
        <w:rPr>
          <w:rFonts w:hint="eastAsia" w:ascii="Times New Roman" w:hAnsi="Times New Roman" w:eastAsia="方正仿宋_GBK" w:cs="Times New Roman"/>
          <w:sz w:val="32"/>
          <w:szCs w:val="20"/>
        </w:rPr>
        <w:t>要求报送的</w:t>
      </w:r>
      <w:r>
        <w:rPr>
          <w:rFonts w:ascii="Times New Roman" w:hAnsi="Times New Roman" w:eastAsia="方正仿宋_GBK" w:cs="Times New Roman"/>
          <w:sz w:val="32"/>
          <w:szCs w:val="20"/>
        </w:rPr>
        <w:t>材料。</w:t>
      </w:r>
    </w:p>
    <w:p>
      <w:pPr>
        <w:spacing w:line="578"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下一年度专项资金</w:t>
      </w:r>
      <w:r>
        <w:rPr>
          <w:rFonts w:ascii="Times New Roman" w:hAnsi="Times New Roman" w:eastAsia="方正仿宋_GBK" w:cs="Times New Roman"/>
          <w:sz w:val="32"/>
          <w:szCs w:val="20"/>
        </w:rPr>
        <w:t>申报材料</w:t>
      </w:r>
      <w:r>
        <w:rPr>
          <w:rFonts w:hint="eastAsia" w:ascii="Times New Roman" w:hAnsi="Times New Roman" w:eastAsia="方正仿宋_GBK" w:cs="Times New Roman"/>
          <w:sz w:val="32"/>
          <w:szCs w:val="20"/>
        </w:rPr>
        <w:t>包括：</w:t>
      </w:r>
      <w:r>
        <w:rPr>
          <w:rFonts w:ascii="Times New Roman" w:hAnsi="Times New Roman" w:eastAsia="方正仿宋_GBK" w:cs="Times New Roman"/>
          <w:sz w:val="32"/>
          <w:szCs w:val="20"/>
        </w:rPr>
        <w:t>普惠金融发展专项资金申报表</w:t>
      </w:r>
      <w:r>
        <w:rPr>
          <w:rFonts w:hint="eastAsia" w:ascii="Times New Roman" w:hAnsi="Times New Roman" w:eastAsia="方正仿宋_GBK" w:cs="Times New Roman"/>
          <w:sz w:val="32"/>
          <w:szCs w:val="20"/>
        </w:rPr>
        <w:t>（附表2）</w:t>
      </w:r>
      <w:r>
        <w:rPr>
          <w:rFonts w:ascii="Times New Roman" w:hAnsi="Times New Roman" w:eastAsia="方正仿宋_GBK" w:cs="Times New Roman"/>
          <w:sz w:val="32"/>
          <w:szCs w:val="20"/>
        </w:rPr>
        <w:t>、普惠金融发展专项资金绩效目标申报表</w:t>
      </w:r>
      <w:r>
        <w:rPr>
          <w:rFonts w:hint="eastAsia" w:ascii="Times New Roman" w:hAnsi="Times New Roman" w:eastAsia="方正仿宋_GBK" w:cs="Times New Roman"/>
          <w:sz w:val="32"/>
          <w:szCs w:val="20"/>
        </w:rPr>
        <w:t>（附表3）</w:t>
      </w:r>
      <w:r>
        <w:rPr>
          <w:rFonts w:ascii="Times New Roman" w:hAnsi="Times New Roman" w:eastAsia="方正仿宋_GBK" w:cs="Times New Roman"/>
          <w:sz w:val="32"/>
          <w:szCs w:val="20"/>
        </w:rPr>
        <w:t>。</w:t>
      </w:r>
    </w:p>
    <w:p>
      <w:pPr>
        <w:spacing w:line="578"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财政支持普惠金融示范区的申报按照本办法第十七条执行。</w:t>
      </w: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对未按规</w:t>
      </w:r>
      <w:r>
        <w:rPr>
          <w:rFonts w:hint="eastAsia" w:ascii="Times New Roman" w:hAnsi="Times New Roman" w:eastAsia="方正仿宋_GBK" w:cs="Times New Roman"/>
          <w:sz w:val="32"/>
          <w:szCs w:val="20"/>
        </w:rPr>
        <w:t>定要求</w:t>
      </w:r>
      <w:r>
        <w:rPr>
          <w:rFonts w:ascii="Times New Roman" w:hAnsi="Times New Roman" w:eastAsia="方正仿宋_GBK" w:cs="Times New Roman"/>
          <w:sz w:val="32"/>
          <w:szCs w:val="20"/>
        </w:rPr>
        <w:t>报送专项资金申</w:t>
      </w:r>
      <w:r>
        <w:rPr>
          <w:rFonts w:hint="eastAsia" w:ascii="Times New Roman" w:hAnsi="Times New Roman" w:eastAsia="方正仿宋_GBK" w:cs="Times New Roman"/>
          <w:sz w:val="32"/>
          <w:szCs w:val="20"/>
        </w:rPr>
        <w:t>报</w:t>
      </w:r>
      <w:r>
        <w:rPr>
          <w:rFonts w:ascii="Times New Roman" w:hAnsi="Times New Roman" w:eastAsia="方正仿宋_GBK" w:cs="Times New Roman"/>
          <w:sz w:val="32"/>
          <w:szCs w:val="20"/>
        </w:rPr>
        <w:t>材料的区县，市财政局将不予受理，视同次年度不申请专项资金。</w:t>
      </w: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黑体_GBK" w:cs="Times New Roman"/>
          <w:sz w:val="32"/>
          <w:szCs w:val="20"/>
        </w:rPr>
        <w:t>第</w:t>
      </w:r>
      <w:r>
        <w:rPr>
          <w:rFonts w:hint="eastAsia" w:ascii="Times New Roman" w:hAnsi="Times New Roman" w:eastAsia="方正黑体_GBK" w:cs="Times New Roman"/>
          <w:sz w:val="32"/>
          <w:szCs w:val="20"/>
        </w:rPr>
        <w:t>二十五</w:t>
      </w:r>
      <w:r>
        <w:rPr>
          <w:rFonts w:ascii="Times New Roman" w:hAnsi="Times New Roman" w:eastAsia="方正黑体_GBK" w:cs="Times New Roman"/>
          <w:sz w:val="32"/>
          <w:szCs w:val="20"/>
        </w:rPr>
        <w:t>条</w:t>
      </w:r>
      <w:r>
        <w:rPr>
          <w:rFonts w:ascii="Times New Roman" w:hAnsi="Times New Roman" w:eastAsia="方正仿宋_GBK" w:cs="Times New Roman"/>
          <w:sz w:val="32"/>
          <w:szCs w:val="20"/>
        </w:rPr>
        <w:t xml:space="preserve"> </w:t>
      </w:r>
      <w:r>
        <w:rPr>
          <w:rFonts w:hint="eastAsia" w:ascii="Times New Roman" w:hAnsi="Times New Roman" w:eastAsia="方正仿宋_GBK" w:cs="Times New Roman"/>
          <w:sz w:val="32"/>
          <w:szCs w:val="20"/>
        </w:rPr>
        <w:t>相关金融机构</w:t>
      </w:r>
      <w:r>
        <w:rPr>
          <w:rFonts w:ascii="Times New Roman" w:hAnsi="Times New Roman" w:eastAsia="方正仿宋_GBK" w:cs="Times New Roman"/>
          <w:sz w:val="32"/>
          <w:szCs w:val="20"/>
        </w:rPr>
        <w:t>应</w:t>
      </w:r>
      <w:r>
        <w:rPr>
          <w:rFonts w:hint="eastAsia" w:ascii="Times New Roman" w:hAnsi="Times New Roman" w:eastAsia="方正仿宋_GBK" w:cs="Times New Roman"/>
          <w:sz w:val="32"/>
          <w:szCs w:val="20"/>
        </w:rPr>
        <w:t>积极配合财政部门、人力社保部门</w:t>
      </w:r>
      <w:r>
        <w:rPr>
          <w:rFonts w:ascii="Times New Roman" w:hAnsi="Times New Roman" w:eastAsia="方正仿宋_GBK" w:cs="Times New Roman"/>
          <w:sz w:val="32"/>
          <w:szCs w:val="20"/>
        </w:rPr>
        <w:t>如实统计和上报专项资金</w:t>
      </w:r>
      <w:r>
        <w:rPr>
          <w:rFonts w:hint="eastAsia" w:ascii="Times New Roman" w:hAnsi="Times New Roman" w:eastAsia="方正仿宋_GBK" w:cs="Times New Roman"/>
          <w:sz w:val="32"/>
          <w:szCs w:val="20"/>
        </w:rPr>
        <w:t>相关</w:t>
      </w:r>
      <w:r>
        <w:rPr>
          <w:rFonts w:ascii="Times New Roman" w:hAnsi="Times New Roman" w:eastAsia="方正仿宋_GBK" w:cs="Times New Roman"/>
          <w:sz w:val="32"/>
          <w:szCs w:val="20"/>
        </w:rPr>
        <w:t>数据，</w:t>
      </w:r>
      <w:r>
        <w:rPr>
          <w:rFonts w:hint="eastAsia" w:ascii="Times New Roman" w:hAnsi="Times New Roman" w:eastAsia="方正仿宋_GBK" w:cs="Times New Roman"/>
          <w:sz w:val="32"/>
          <w:szCs w:val="20"/>
        </w:rPr>
        <w:t>并</w:t>
      </w:r>
      <w:r>
        <w:rPr>
          <w:rFonts w:ascii="Times New Roman" w:hAnsi="Times New Roman" w:eastAsia="方正仿宋_GBK" w:cs="Times New Roman"/>
          <w:sz w:val="32"/>
          <w:szCs w:val="20"/>
        </w:rPr>
        <w:t>对各项基础数据的真实性负责。</w:t>
      </w: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黑体_GBK" w:cs="Times New Roman"/>
          <w:sz w:val="32"/>
          <w:szCs w:val="20"/>
        </w:rPr>
        <w:t>第二十</w:t>
      </w:r>
      <w:r>
        <w:rPr>
          <w:rFonts w:hint="eastAsia" w:ascii="Times New Roman" w:hAnsi="Times New Roman" w:eastAsia="方正黑体_GBK" w:cs="Times New Roman"/>
          <w:sz w:val="32"/>
          <w:szCs w:val="20"/>
        </w:rPr>
        <w:t>六</w:t>
      </w:r>
      <w:r>
        <w:rPr>
          <w:rFonts w:ascii="Times New Roman" w:hAnsi="Times New Roman" w:eastAsia="方正黑体_GBK" w:cs="Times New Roman"/>
          <w:sz w:val="32"/>
          <w:szCs w:val="20"/>
        </w:rPr>
        <w:t>条</w:t>
      </w:r>
      <w:r>
        <w:rPr>
          <w:rFonts w:ascii="Times New Roman" w:hAnsi="Times New Roman" w:eastAsia="方正仿宋_GBK" w:cs="Times New Roman"/>
          <w:sz w:val="32"/>
          <w:szCs w:val="20"/>
        </w:rPr>
        <w:t xml:space="preserve"> </w:t>
      </w:r>
      <w:r>
        <w:rPr>
          <w:rFonts w:hint="eastAsia" w:ascii="Times New Roman" w:hAnsi="Times New Roman" w:eastAsia="方正仿宋_GBK" w:cs="Times New Roman"/>
          <w:sz w:val="32"/>
          <w:szCs w:val="20"/>
        </w:rPr>
        <w:t>创业担保贷款贴息资金采取据实结算方式。</w:t>
      </w:r>
    </w:p>
    <w:p>
      <w:pPr>
        <w:spacing w:line="578"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市财政局依据各区县创业担保贷款发放情况预下达下一年度贴息资金，并在年度执行终了据实</w:t>
      </w:r>
      <w:r>
        <w:rPr>
          <w:rFonts w:ascii="Times New Roman" w:hAnsi="Times New Roman" w:eastAsia="方正仿宋_GBK" w:cs="Times New Roman"/>
          <w:sz w:val="32"/>
          <w:szCs w:val="20"/>
        </w:rPr>
        <w:t>结算。</w:t>
      </w:r>
    </w:p>
    <w:p>
      <w:pPr>
        <w:spacing w:line="578"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创业担保贷款按季贴息，经办银行于</w:t>
      </w:r>
      <w:r>
        <w:rPr>
          <w:rFonts w:ascii="Times New Roman" w:hAnsi="Times New Roman" w:eastAsia="方正仿宋_GBK" w:cs="Times New Roman"/>
          <w:sz w:val="32"/>
          <w:szCs w:val="20"/>
        </w:rPr>
        <w:t>每个季度结束后10个工作日内向</w:t>
      </w:r>
      <w:r>
        <w:rPr>
          <w:rFonts w:hint="eastAsia" w:ascii="Times New Roman" w:hAnsi="Times New Roman" w:eastAsia="方正仿宋_GBK" w:cs="Times New Roman"/>
          <w:sz w:val="32"/>
          <w:szCs w:val="20"/>
        </w:rPr>
        <w:t>当地</w:t>
      </w:r>
      <w:r>
        <w:rPr>
          <w:rFonts w:ascii="Times New Roman" w:hAnsi="Times New Roman" w:eastAsia="方正仿宋_GBK" w:cs="Times New Roman"/>
          <w:sz w:val="32"/>
          <w:szCs w:val="20"/>
        </w:rPr>
        <w:t>区县财政部门申请对应贴息资金，并抄送当地人力社保部门，区县财政部门在1个月内完成审核并向经办银行拨付贴息资金。</w:t>
      </w: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黑体_GBK" w:cs="Times New Roman"/>
          <w:sz w:val="32"/>
          <w:szCs w:val="20"/>
        </w:rPr>
        <w:t>第二十</w:t>
      </w:r>
      <w:r>
        <w:rPr>
          <w:rFonts w:hint="eastAsia" w:ascii="Times New Roman" w:hAnsi="Times New Roman" w:eastAsia="方正黑体_GBK" w:cs="Times New Roman"/>
          <w:sz w:val="32"/>
          <w:szCs w:val="20"/>
        </w:rPr>
        <w:t>七</w:t>
      </w:r>
      <w:r>
        <w:rPr>
          <w:rFonts w:ascii="Times New Roman" w:hAnsi="Times New Roman" w:eastAsia="方正黑体_GBK" w:cs="Times New Roman"/>
          <w:sz w:val="32"/>
          <w:szCs w:val="20"/>
        </w:rPr>
        <w:t>条</w:t>
      </w:r>
      <w:r>
        <w:rPr>
          <w:rFonts w:ascii="Times New Roman" w:hAnsi="Times New Roman" w:eastAsia="方正仿宋_GBK" w:cs="Times New Roman"/>
          <w:sz w:val="32"/>
          <w:szCs w:val="20"/>
        </w:rPr>
        <w:t xml:space="preserve"> 财政支持普惠金融发展示范区奖补资金采用项目法分配，具体标准</w:t>
      </w:r>
      <w:r>
        <w:rPr>
          <w:rFonts w:hint="eastAsia" w:ascii="Times New Roman" w:hAnsi="Times New Roman" w:eastAsia="方正仿宋_GBK" w:cs="Times New Roman"/>
          <w:sz w:val="32"/>
          <w:szCs w:val="20"/>
        </w:rPr>
        <w:t>按照</w:t>
      </w:r>
      <w:r>
        <w:rPr>
          <w:rFonts w:ascii="Times New Roman" w:hAnsi="Times New Roman" w:eastAsia="方正仿宋_GBK" w:cs="Times New Roman"/>
          <w:sz w:val="32"/>
          <w:szCs w:val="20"/>
        </w:rPr>
        <w:t>本办法第十</w:t>
      </w:r>
      <w:r>
        <w:rPr>
          <w:rFonts w:hint="eastAsia" w:ascii="Times New Roman" w:hAnsi="Times New Roman" w:eastAsia="方正仿宋_GBK" w:cs="Times New Roman"/>
          <w:sz w:val="32"/>
          <w:szCs w:val="20"/>
        </w:rPr>
        <w:t>六</w:t>
      </w:r>
      <w:r>
        <w:rPr>
          <w:rFonts w:ascii="Times New Roman" w:hAnsi="Times New Roman" w:eastAsia="方正仿宋_GBK" w:cs="Times New Roman"/>
          <w:sz w:val="32"/>
          <w:szCs w:val="20"/>
        </w:rPr>
        <w:t>条</w:t>
      </w:r>
      <w:r>
        <w:rPr>
          <w:rFonts w:hint="eastAsia" w:ascii="Times New Roman" w:hAnsi="Times New Roman" w:eastAsia="方正仿宋_GBK" w:cs="Times New Roman"/>
          <w:sz w:val="32"/>
          <w:szCs w:val="20"/>
        </w:rPr>
        <w:t>执行</w:t>
      </w:r>
      <w:r>
        <w:rPr>
          <w:rFonts w:ascii="Times New Roman" w:hAnsi="Times New Roman" w:eastAsia="方正仿宋_GBK" w:cs="Times New Roman"/>
          <w:sz w:val="32"/>
          <w:szCs w:val="20"/>
        </w:rPr>
        <w:t>。</w:t>
      </w: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黑体_GBK" w:cs="Times New Roman"/>
          <w:sz w:val="32"/>
          <w:szCs w:val="20"/>
        </w:rPr>
        <w:t>第二十</w:t>
      </w:r>
      <w:r>
        <w:rPr>
          <w:rFonts w:hint="eastAsia" w:ascii="Times New Roman" w:hAnsi="Times New Roman" w:eastAsia="方正黑体_GBK" w:cs="Times New Roman"/>
          <w:sz w:val="32"/>
          <w:szCs w:val="20"/>
        </w:rPr>
        <w:t>八</w:t>
      </w:r>
      <w:r>
        <w:rPr>
          <w:rFonts w:ascii="Times New Roman" w:hAnsi="Times New Roman" w:eastAsia="方正黑体_GBK" w:cs="Times New Roman"/>
          <w:sz w:val="32"/>
          <w:szCs w:val="20"/>
        </w:rPr>
        <w:t>条</w:t>
      </w:r>
      <w:r>
        <w:rPr>
          <w:rFonts w:ascii="Times New Roman" w:hAnsi="Times New Roman" w:eastAsia="方正仿宋_GBK" w:cs="Times New Roman"/>
          <w:sz w:val="32"/>
          <w:szCs w:val="20"/>
        </w:rPr>
        <w:t xml:space="preserve"> 农村金融机构定向费用奖补资金采用因素法分配。</w:t>
      </w: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区县农村金融机构定向费用奖补资金分配金额=农村金融机构定向费用奖补资金分配系数×</w:t>
      </w:r>
      <w:r>
        <w:rPr>
          <w:rFonts w:hint="eastAsia" w:ascii="Times New Roman" w:hAnsi="Times New Roman" w:eastAsia="方正仿宋_GBK" w:cs="Times New Roman"/>
          <w:sz w:val="32"/>
          <w:szCs w:val="20"/>
        </w:rPr>
        <w:t>全市</w:t>
      </w:r>
      <w:r>
        <w:rPr>
          <w:rFonts w:ascii="Times New Roman" w:hAnsi="Times New Roman" w:eastAsia="方正仿宋_GBK" w:cs="Times New Roman"/>
          <w:sz w:val="32"/>
          <w:szCs w:val="20"/>
        </w:rPr>
        <w:t>农村金融机构定向费用奖补资金。</w:t>
      </w:r>
    </w:p>
    <w:p>
      <w:pPr>
        <w:spacing w:line="578"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全市</w:t>
      </w:r>
      <w:r>
        <w:rPr>
          <w:rFonts w:ascii="Times New Roman" w:hAnsi="Times New Roman" w:eastAsia="方正仿宋_GBK" w:cs="Times New Roman"/>
          <w:sz w:val="32"/>
          <w:szCs w:val="20"/>
        </w:rPr>
        <w:t>农村金融机构定向费用奖补资金</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0.05×（中央下达我市普惠金融发展专项资金－财政支持普惠金融发展示范区</w:t>
      </w:r>
      <w:r>
        <w:rPr>
          <w:rFonts w:hint="eastAsia" w:ascii="Times New Roman" w:hAnsi="Times New Roman" w:eastAsia="方正仿宋_GBK" w:cs="Times New Roman"/>
          <w:sz w:val="32"/>
          <w:szCs w:val="20"/>
        </w:rPr>
        <w:t>中央</w:t>
      </w:r>
      <w:r>
        <w:rPr>
          <w:rFonts w:ascii="Times New Roman" w:hAnsi="Times New Roman" w:eastAsia="方正仿宋_GBK" w:cs="Times New Roman"/>
          <w:sz w:val="32"/>
          <w:szCs w:val="20"/>
        </w:rPr>
        <w:t>资金）</w:t>
      </w:r>
      <w:r>
        <w:rPr>
          <w:rFonts w:hint="eastAsia" w:ascii="Times New Roman" w:hAnsi="Times New Roman" w:eastAsia="方正仿宋_GBK" w:cs="Times New Roman"/>
          <w:sz w:val="32"/>
          <w:szCs w:val="20"/>
        </w:rPr>
        <w:t>。</w:t>
      </w: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农村金融机构定向费用奖补资金分配系数=区县农村金融机构</w:t>
      </w:r>
      <w:r>
        <w:rPr>
          <w:rFonts w:hint="eastAsia" w:ascii="Times New Roman" w:hAnsi="Times New Roman" w:eastAsia="方正仿宋_GBK" w:cs="Times New Roman"/>
          <w:sz w:val="32"/>
          <w:szCs w:val="20"/>
        </w:rPr>
        <w:t>上一年度</w:t>
      </w:r>
      <w:r>
        <w:rPr>
          <w:rFonts w:ascii="Times New Roman" w:hAnsi="Times New Roman" w:eastAsia="方正仿宋_GBK" w:cs="Times New Roman"/>
          <w:sz w:val="32"/>
          <w:szCs w:val="20"/>
        </w:rPr>
        <w:t>符合专项资金奖补条件的农户小额信用贷款余额÷（∑各区县农村金融机构</w:t>
      </w:r>
      <w:r>
        <w:rPr>
          <w:rFonts w:hint="eastAsia" w:ascii="Times New Roman" w:hAnsi="Times New Roman" w:eastAsia="方正仿宋_GBK" w:cs="Times New Roman"/>
          <w:sz w:val="32"/>
          <w:szCs w:val="20"/>
        </w:rPr>
        <w:t>上一年度</w:t>
      </w:r>
      <w:r>
        <w:rPr>
          <w:rFonts w:ascii="Times New Roman" w:hAnsi="Times New Roman" w:eastAsia="方正仿宋_GBK" w:cs="Times New Roman"/>
          <w:sz w:val="32"/>
          <w:szCs w:val="20"/>
        </w:rPr>
        <w:t>符合专项资金奖补条件的农户小额信用贷款余额）。</w:t>
      </w:r>
    </w:p>
    <w:p>
      <w:pPr>
        <w:spacing w:line="578"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上一年度</w:t>
      </w:r>
      <w:r>
        <w:rPr>
          <w:rFonts w:ascii="Times New Roman" w:hAnsi="Times New Roman" w:eastAsia="方正仿宋_GBK" w:cs="Times New Roman"/>
          <w:sz w:val="32"/>
          <w:szCs w:val="20"/>
        </w:rPr>
        <w:t>符合专项资金奖补条件的农户小额信用贷款余额，是指农村金融机构在年度内每月末符合专项资金奖补条件的农户小额信用贷款余额的平均值。</w:t>
      </w:r>
    </w:p>
    <w:p>
      <w:pPr>
        <w:spacing w:line="578" w:lineRule="exact"/>
        <w:ind w:firstLine="640" w:firstLineChars="200"/>
        <w:rPr>
          <w:rFonts w:ascii="Times New Roman" w:hAnsi="Times New Roman" w:eastAsia="方正仿宋_GBK" w:cs="Times New Roman"/>
          <w:sz w:val="32"/>
          <w:szCs w:val="20"/>
        </w:rPr>
      </w:pPr>
      <w:r>
        <w:rPr>
          <w:rFonts w:hint="eastAsia" w:ascii="Times New Roman" w:hAnsi="Times New Roman" w:eastAsia="方正黑体_GBK" w:cs="Times New Roman"/>
          <w:sz w:val="32"/>
          <w:szCs w:val="20"/>
        </w:rPr>
        <w:t>第二十九条</w:t>
      </w:r>
      <w:r>
        <w:rPr>
          <w:rFonts w:hint="eastAsia" w:ascii="Times New Roman" w:hAnsi="Times New Roman" w:eastAsia="方正仿宋_GBK" w:cs="Times New Roman"/>
          <w:sz w:val="32"/>
          <w:szCs w:val="20"/>
        </w:rPr>
        <w:t xml:space="preserve"> 在年度预算内，专项资金在保障创业担保贷款贴息、财政支持普惠金融示范区奖补、农村金融机构定向费用奖补需求后，统筹</w:t>
      </w:r>
      <w:r>
        <w:rPr>
          <w:rFonts w:ascii="Times New Roman" w:hAnsi="Times New Roman" w:eastAsia="方正仿宋_GBK" w:cs="Times New Roman"/>
          <w:sz w:val="32"/>
          <w:szCs w:val="20"/>
        </w:rPr>
        <w:t>用于</w:t>
      </w:r>
      <w:r>
        <w:rPr>
          <w:rFonts w:hint="eastAsia" w:ascii="Times New Roman" w:hAnsi="Times New Roman" w:eastAsia="方正仿宋_GBK" w:cs="Times New Roman"/>
          <w:sz w:val="32"/>
          <w:szCs w:val="20"/>
        </w:rPr>
        <w:t>绩效奖励</w:t>
      </w:r>
      <w:r>
        <w:rPr>
          <w:rFonts w:ascii="Times New Roman" w:hAnsi="Times New Roman" w:eastAsia="方正仿宋_GBK" w:cs="Times New Roman"/>
          <w:sz w:val="32"/>
          <w:szCs w:val="20"/>
        </w:rPr>
        <w:t>、</w:t>
      </w:r>
      <w:r>
        <w:rPr>
          <w:rFonts w:hint="eastAsia" w:ascii="Times New Roman" w:hAnsi="Times New Roman" w:eastAsia="方正仿宋_GBK" w:cs="Times New Roman"/>
          <w:sz w:val="32"/>
          <w:szCs w:val="20"/>
        </w:rPr>
        <w:t>小微企业和“三农”融资担保降费奖补</w:t>
      </w:r>
      <w:r>
        <w:rPr>
          <w:rFonts w:ascii="Times New Roman" w:hAnsi="Times New Roman" w:eastAsia="方正仿宋_GBK" w:cs="Times New Roman"/>
          <w:sz w:val="32"/>
          <w:szCs w:val="20"/>
        </w:rPr>
        <w:t>、信息化</w:t>
      </w:r>
      <w:r>
        <w:rPr>
          <w:rFonts w:hint="eastAsia" w:ascii="Times New Roman" w:hAnsi="Times New Roman" w:eastAsia="方正仿宋_GBK" w:cs="Times New Roman"/>
          <w:sz w:val="32"/>
          <w:szCs w:val="20"/>
        </w:rPr>
        <w:t>建设</w:t>
      </w:r>
      <w:r>
        <w:rPr>
          <w:rFonts w:ascii="Times New Roman" w:hAnsi="Times New Roman" w:eastAsia="方正仿宋_GBK" w:cs="Times New Roman"/>
          <w:sz w:val="32"/>
          <w:szCs w:val="20"/>
        </w:rPr>
        <w:t>等相关工作。</w:t>
      </w:r>
    </w:p>
    <w:p>
      <w:pPr>
        <w:spacing w:line="578" w:lineRule="exact"/>
        <w:ind w:firstLine="640" w:firstLineChars="200"/>
        <w:rPr>
          <w:rFonts w:ascii="Times New Roman" w:hAnsi="Times New Roman" w:eastAsia="方正仿宋_GBK" w:cs="Times New Roman"/>
          <w:sz w:val="32"/>
          <w:szCs w:val="20"/>
        </w:rPr>
      </w:pPr>
    </w:p>
    <w:p>
      <w:pPr>
        <w:spacing w:line="578" w:lineRule="exact"/>
        <w:jc w:val="center"/>
        <w:rPr>
          <w:rFonts w:ascii="Times New Roman" w:hAnsi="Times New Roman" w:eastAsia="方正黑体_GBK" w:cs="Times New Roman"/>
          <w:sz w:val="32"/>
          <w:szCs w:val="20"/>
        </w:rPr>
      </w:pPr>
      <w:r>
        <w:rPr>
          <w:rFonts w:ascii="Times New Roman" w:hAnsi="Times New Roman" w:eastAsia="方正黑体_GBK" w:cs="Times New Roman"/>
          <w:sz w:val="32"/>
          <w:szCs w:val="20"/>
        </w:rPr>
        <w:t>第六章 监督管理</w:t>
      </w:r>
    </w:p>
    <w:p>
      <w:pPr>
        <w:spacing w:line="578" w:lineRule="exact"/>
        <w:ind w:firstLine="640" w:firstLineChars="200"/>
        <w:rPr>
          <w:rFonts w:ascii="Times New Roman" w:hAnsi="Times New Roman" w:eastAsia="方正仿宋_GBK" w:cs="Times New Roman"/>
          <w:sz w:val="32"/>
          <w:szCs w:val="20"/>
        </w:rPr>
      </w:pP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黑体_GBK" w:cs="Times New Roman"/>
          <w:sz w:val="32"/>
          <w:szCs w:val="20"/>
        </w:rPr>
        <w:t>第三十条</w:t>
      </w:r>
      <w:r>
        <w:rPr>
          <w:rFonts w:ascii="Times New Roman" w:hAnsi="Times New Roman" w:eastAsia="方正仿宋_GBK" w:cs="Times New Roman"/>
          <w:sz w:val="32"/>
          <w:szCs w:val="20"/>
        </w:rPr>
        <w:t xml:space="preserve"> 区县财政部门应当按照全面实施预算绩效管理的要求，加强专项资金绩效管理，</w:t>
      </w:r>
      <w:r>
        <w:rPr>
          <w:rFonts w:hint="eastAsia" w:ascii="Times New Roman" w:hAnsi="Times New Roman" w:eastAsia="方正仿宋_GBK" w:cs="Times New Roman"/>
          <w:sz w:val="32"/>
          <w:szCs w:val="20"/>
        </w:rPr>
        <w:t>充分发挥政策效益，市财政局将加强对绩效评价结果的运用，</w:t>
      </w:r>
      <w:r>
        <w:rPr>
          <w:rFonts w:ascii="Times New Roman" w:hAnsi="Times New Roman" w:eastAsia="方正仿宋_GBK" w:cs="Times New Roman"/>
          <w:sz w:val="32"/>
          <w:szCs w:val="20"/>
        </w:rPr>
        <w:t>作为资金分配、</w:t>
      </w:r>
      <w:r>
        <w:rPr>
          <w:rFonts w:hint="eastAsia" w:ascii="Times New Roman" w:hAnsi="Times New Roman" w:eastAsia="方正仿宋_GBK" w:cs="Times New Roman"/>
          <w:sz w:val="32"/>
          <w:szCs w:val="20"/>
        </w:rPr>
        <w:t>优化</w:t>
      </w:r>
      <w:r>
        <w:rPr>
          <w:rFonts w:ascii="Times New Roman" w:hAnsi="Times New Roman" w:eastAsia="方正仿宋_GBK" w:cs="Times New Roman"/>
          <w:sz w:val="32"/>
          <w:szCs w:val="20"/>
        </w:rPr>
        <w:t>管理的参考依据。</w:t>
      </w: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黑体_GBK" w:cs="Times New Roman"/>
          <w:sz w:val="32"/>
          <w:szCs w:val="20"/>
        </w:rPr>
        <w:t>第三十</w:t>
      </w:r>
      <w:r>
        <w:rPr>
          <w:rFonts w:hint="eastAsia" w:ascii="Times New Roman" w:hAnsi="Times New Roman" w:eastAsia="方正黑体_GBK" w:cs="Times New Roman"/>
          <w:sz w:val="32"/>
          <w:szCs w:val="20"/>
        </w:rPr>
        <w:t>一</w:t>
      </w:r>
      <w:r>
        <w:rPr>
          <w:rFonts w:ascii="Times New Roman" w:hAnsi="Times New Roman" w:eastAsia="方正黑体_GBK" w:cs="Times New Roman"/>
          <w:sz w:val="32"/>
          <w:szCs w:val="20"/>
        </w:rPr>
        <w:t>条</w:t>
      </w:r>
      <w:r>
        <w:rPr>
          <w:rFonts w:ascii="Times New Roman" w:hAnsi="Times New Roman" w:eastAsia="方正仿宋_GBK" w:cs="Times New Roman"/>
          <w:sz w:val="32"/>
          <w:szCs w:val="20"/>
        </w:rPr>
        <w:t xml:space="preserve"> </w:t>
      </w:r>
      <w:r>
        <w:rPr>
          <w:rFonts w:hint="eastAsia" w:ascii="Times New Roman" w:hAnsi="Times New Roman" w:eastAsia="方正仿宋_GBK" w:cs="Times New Roman"/>
          <w:sz w:val="32"/>
          <w:szCs w:val="20"/>
        </w:rPr>
        <w:t>区县财政部门</w:t>
      </w:r>
      <w:r>
        <w:rPr>
          <w:rFonts w:ascii="Times New Roman" w:hAnsi="Times New Roman" w:eastAsia="方正仿宋_GBK" w:cs="Times New Roman"/>
          <w:sz w:val="32"/>
          <w:szCs w:val="20"/>
        </w:rPr>
        <w:t>应</w:t>
      </w:r>
      <w:r>
        <w:rPr>
          <w:rFonts w:hint="eastAsia" w:ascii="Times New Roman" w:hAnsi="Times New Roman" w:eastAsia="方正仿宋_GBK" w:cs="Times New Roman"/>
          <w:sz w:val="32"/>
          <w:szCs w:val="20"/>
        </w:rPr>
        <w:t>严格执行预算管理相关规定以及本办法，自觉</w:t>
      </w:r>
      <w:r>
        <w:rPr>
          <w:rFonts w:ascii="Times New Roman" w:hAnsi="Times New Roman" w:eastAsia="方正仿宋_GBK" w:cs="Times New Roman"/>
          <w:sz w:val="32"/>
          <w:szCs w:val="20"/>
        </w:rPr>
        <w:t>依法接受审计监督和财政监督。</w:t>
      </w: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黑体_GBK" w:cs="Times New Roman"/>
          <w:sz w:val="32"/>
          <w:szCs w:val="20"/>
        </w:rPr>
        <w:t>第三十</w:t>
      </w:r>
      <w:r>
        <w:rPr>
          <w:rFonts w:hint="eastAsia" w:ascii="Times New Roman" w:hAnsi="Times New Roman" w:eastAsia="方正黑体_GBK" w:cs="Times New Roman"/>
          <w:sz w:val="32"/>
          <w:szCs w:val="20"/>
        </w:rPr>
        <w:t>二</w:t>
      </w:r>
      <w:r>
        <w:rPr>
          <w:rFonts w:ascii="Times New Roman" w:hAnsi="Times New Roman" w:eastAsia="方正黑体_GBK" w:cs="Times New Roman"/>
          <w:sz w:val="32"/>
          <w:szCs w:val="20"/>
        </w:rPr>
        <w:t>条</w:t>
      </w:r>
      <w:r>
        <w:rPr>
          <w:rFonts w:ascii="Times New Roman" w:hAnsi="Times New Roman" w:eastAsia="方正仿宋_GBK" w:cs="Times New Roman"/>
          <w:sz w:val="32"/>
          <w:szCs w:val="20"/>
        </w:rPr>
        <w:t xml:space="preserve"> 区县财政部门应当加强与</w:t>
      </w:r>
      <w:r>
        <w:rPr>
          <w:rFonts w:hint="eastAsia" w:ascii="Times New Roman" w:hAnsi="Times New Roman" w:eastAsia="方正仿宋_GBK" w:cs="Times New Roman"/>
          <w:sz w:val="32"/>
          <w:szCs w:val="20"/>
        </w:rPr>
        <w:t>相关单位</w:t>
      </w:r>
      <w:r>
        <w:rPr>
          <w:rFonts w:ascii="Times New Roman" w:hAnsi="Times New Roman" w:eastAsia="方正仿宋_GBK" w:cs="Times New Roman"/>
          <w:sz w:val="32"/>
          <w:szCs w:val="20"/>
        </w:rPr>
        <w:t>的协同配合，</w:t>
      </w:r>
      <w:r>
        <w:rPr>
          <w:rFonts w:hint="eastAsia" w:ascii="Times New Roman" w:hAnsi="Times New Roman" w:eastAsia="方正仿宋_GBK" w:cs="Times New Roman"/>
          <w:sz w:val="32"/>
          <w:szCs w:val="20"/>
        </w:rPr>
        <w:t>加强对</w:t>
      </w:r>
      <w:r>
        <w:rPr>
          <w:rFonts w:ascii="Times New Roman" w:hAnsi="Times New Roman" w:eastAsia="方正仿宋_GBK" w:cs="Times New Roman"/>
          <w:sz w:val="32"/>
          <w:szCs w:val="20"/>
        </w:rPr>
        <w:t>创业担保贷款</w:t>
      </w:r>
      <w:r>
        <w:rPr>
          <w:rFonts w:hint="eastAsia" w:ascii="Times New Roman" w:hAnsi="Times New Roman" w:eastAsia="方正仿宋_GBK" w:cs="Times New Roman"/>
          <w:sz w:val="32"/>
          <w:szCs w:val="20"/>
        </w:rPr>
        <w:t>贴息资金的审核及</w:t>
      </w:r>
      <w:r>
        <w:rPr>
          <w:rFonts w:ascii="Times New Roman" w:hAnsi="Times New Roman" w:eastAsia="方正仿宋_GBK" w:cs="Times New Roman"/>
          <w:sz w:val="32"/>
          <w:szCs w:val="20"/>
        </w:rPr>
        <w:t>风险</w:t>
      </w:r>
      <w:r>
        <w:rPr>
          <w:rFonts w:hint="eastAsia" w:ascii="Times New Roman" w:hAnsi="Times New Roman" w:eastAsia="方正仿宋_GBK" w:cs="Times New Roman"/>
          <w:sz w:val="32"/>
          <w:szCs w:val="20"/>
        </w:rPr>
        <w:t>管控，发现</w:t>
      </w:r>
      <w:r>
        <w:rPr>
          <w:rFonts w:ascii="Times New Roman" w:hAnsi="Times New Roman" w:eastAsia="方正仿宋_GBK" w:cs="Times New Roman"/>
          <w:sz w:val="32"/>
          <w:szCs w:val="20"/>
        </w:rPr>
        <w:t>虚报骗取专项资金的，应当及时予以追回。</w:t>
      </w:r>
    </w:p>
    <w:p>
      <w:pPr>
        <w:spacing w:line="578" w:lineRule="exact"/>
        <w:ind w:firstLine="640" w:firstLineChars="200"/>
        <w:rPr>
          <w:rFonts w:ascii="Times New Roman" w:hAnsi="Times New Roman" w:eastAsia="方正仿宋_GBK" w:cs="Times New Roman"/>
          <w:sz w:val="32"/>
          <w:szCs w:val="20"/>
        </w:rPr>
      </w:pPr>
      <w:r>
        <w:rPr>
          <w:rFonts w:hint="eastAsia" w:ascii="Times New Roman" w:hAnsi="Times New Roman" w:eastAsia="方正黑体_GBK" w:cs="Times New Roman"/>
          <w:sz w:val="32"/>
          <w:szCs w:val="20"/>
        </w:rPr>
        <w:t>第三十三条</w:t>
      </w:r>
      <w:r>
        <w:rPr>
          <w:rFonts w:hint="eastAsia" w:ascii="Times New Roman" w:hAnsi="Times New Roman" w:eastAsia="方正仿宋_GBK" w:cs="Times New Roman"/>
          <w:sz w:val="32"/>
          <w:szCs w:val="20"/>
        </w:rPr>
        <w:t xml:space="preserve"> </w:t>
      </w:r>
      <w:r>
        <w:rPr>
          <w:rFonts w:ascii="Times New Roman" w:hAnsi="Times New Roman" w:eastAsia="方正仿宋_GBK" w:cs="Times New Roman"/>
          <w:sz w:val="32"/>
          <w:szCs w:val="20"/>
        </w:rPr>
        <w:t>市财政局将</w:t>
      </w:r>
      <w:r>
        <w:rPr>
          <w:rFonts w:hint="eastAsia" w:ascii="Times New Roman" w:hAnsi="Times New Roman" w:eastAsia="方正仿宋_GBK" w:cs="Times New Roman"/>
          <w:sz w:val="32"/>
          <w:szCs w:val="20"/>
        </w:rPr>
        <w:t>结合专项资金审核工作，</w:t>
      </w:r>
      <w:r>
        <w:rPr>
          <w:rFonts w:ascii="Times New Roman" w:hAnsi="Times New Roman" w:eastAsia="方正仿宋_GBK" w:cs="Times New Roman"/>
          <w:sz w:val="32"/>
          <w:szCs w:val="20"/>
        </w:rPr>
        <w:t>采取实地抽查等方式，对专项资金的分配和使用情况</w:t>
      </w:r>
      <w:r>
        <w:rPr>
          <w:rFonts w:hint="eastAsia" w:ascii="Times New Roman" w:hAnsi="Times New Roman" w:eastAsia="方正仿宋_GBK" w:cs="Times New Roman"/>
          <w:sz w:val="32"/>
          <w:szCs w:val="20"/>
        </w:rPr>
        <w:t>进行</w:t>
      </w:r>
      <w:r>
        <w:rPr>
          <w:rFonts w:ascii="Times New Roman" w:hAnsi="Times New Roman" w:eastAsia="方正仿宋_GBK" w:cs="Times New Roman"/>
          <w:sz w:val="32"/>
          <w:szCs w:val="20"/>
        </w:rPr>
        <w:t>监督管理。</w:t>
      </w:r>
      <w:r>
        <w:rPr>
          <w:rFonts w:hint="eastAsia" w:ascii="Times New Roman" w:hAnsi="Times New Roman" w:eastAsia="方正仿宋_GBK" w:cs="Times New Roman"/>
          <w:sz w:val="32"/>
          <w:szCs w:val="20"/>
        </w:rPr>
        <w:t>若发现相关</w:t>
      </w:r>
      <w:r>
        <w:rPr>
          <w:rFonts w:ascii="Times New Roman" w:hAnsi="Times New Roman" w:eastAsia="方正仿宋_GBK" w:cs="Times New Roman"/>
          <w:sz w:val="32"/>
          <w:szCs w:val="20"/>
        </w:rPr>
        <w:t>部门、单位</w:t>
      </w:r>
      <w:r>
        <w:rPr>
          <w:rFonts w:hint="eastAsia" w:ascii="Times New Roman" w:hAnsi="Times New Roman" w:eastAsia="方正仿宋_GBK" w:cs="Times New Roman"/>
          <w:sz w:val="32"/>
          <w:szCs w:val="20"/>
        </w:rPr>
        <w:t>和</w:t>
      </w:r>
      <w:r>
        <w:rPr>
          <w:rFonts w:ascii="Times New Roman" w:hAnsi="Times New Roman" w:eastAsia="方正仿宋_GBK" w:cs="Times New Roman"/>
          <w:sz w:val="32"/>
          <w:szCs w:val="20"/>
        </w:rPr>
        <w:t>个人，在专项资金</w:t>
      </w:r>
      <w:r>
        <w:rPr>
          <w:rFonts w:hint="eastAsia" w:ascii="Times New Roman" w:hAnsi="Times New Roman" w:eastAsia="方正仿宋_GBK" w:cs="Times New Roman"/>
          <w:sz w:val="32"/>
          <w:szCs w:val="20"/>
        </w:rPr>
        <w:t>的申报、分配及</w:t>
      </w:r>
      <w:r>
        <w:rPr>
          <w:rFonts w:ascii="Times New Roman" w:hAnsi="Times New Roman" w:eastAsia="方正仿宋_GBK" w:cs="Times New Roman"/>
          <w:sz w:val="32"/>
          <w:szCs w:val="20"/>
        </w:rPr>
        <w:t>管理工作中，存在违反本</w:t>
      </w:r>
      <w:r>
        <w:rPr>
          <w:rFonts w:hint="eastAsia" w:ascii="Times New Roman" w:hAnsi="Times New Roman" w:eastAsia="方正仿宋_GBK" w:cs="Times New Roman"/>
          <w:sz w:val="32"/>
          <w:szCs w:val="20"/>
        </w:rPr>
        <w:t>办法</w:t>
      </w:r>
      <w:r>
        <w:rPr>
          <w:rFonts w:ascii="Times New Roman" w:hAnsi="Times New Roman" w:eastAsia="方正仿宋_GBK" w:cs="Times New Roman"/>
          <w:sz w:val="32"/>
          <w:szCs w:val="20"/>
        </w:rPr>
        <w:t>规定</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以及滥用职权、玩忽职守、徇私舞弊等其他违法违规行为的，</w:t>
      </w:r>
      <w:r>
        <w:rPr>
          <w:rFonts w:hint="eastAsia" w:ascii="Times New Roman" w:hAnsi="Times New Roman" w:eastAsia="方正仿宋_GBK" w:cs="Times New Roman"/>
          <w:sz w:val="32"/>
          <w:szCs w:val="20"/>
        </w:rPr>
        <w:t>依据《财政违法行为处罚处分条例》（国务院令第427号）相关规定予以处罚处分</w:t>
      </w:r>
      <w:r>
        <w:rPr>
          <w:rFonts w:ascii="Times New Roman" w:hAnsi="Times New Roman" w:eastAsia="方正仿宋_GBK" w:cs="Times New Roman"/>
          <w:sz w:val="32"/>
          <w:szCs w:val="20"/>
        </w:rPr>
        <w:t>；涉嫌犯罪的，依法移送</w:t>
      </w:r>
      <w:r>
        <w:rPr>
          <w:rFonts w:hint="eastAsia" w:ascii="Times New Roman" w:hAnsi="Times New Roman" w:eastAsia="方正仿宋_GBK" w:cs="Times New Roman"/>
          <w:sz w:val="32"/>
          <w:szCs w:val="20"/>
        </w:rPr>
        <w:t>司法</w:t>
      </w:r>
      <w:r>
        <w:rPr>
          <w:rFonts w:ascii="Times New Roman" w:hAnsi="Times New Roman" w:eastAsia="方正仿宋_GBK" w:cs="Times New Roman"/>
          <w:sz w:val="32"/>
          <w:szCs w:val="20"/>
        </w:rPr>
        <w:t>机关处理。</w:t>
      </w:r>
    </w:p>
    <w:p>
      <w:pPr>
        <w:spacing w:line="578" w:lineRule="exact"/>
        <w:ind w:firstLine="640" w:firstLineChars="200"/>
        <w:rPr>
          <w:rFonts w:ascii="Times New Roman" w:hAnsi="Times New Roman" w:eastAsia="方正仿宋_GBK" w:cs="Times New Roman"/>
          <w:sz w:val="32"/>
          <w:szCs w:val="20"/>
        </w:rPr>
      </w:pPr>
    </w:p>
    <w:p>
      <w:pPr>
        <w:spacing w:line="578" w:lineRule="exact"/>
        <w:jc w:val="center"/>
        <w:rPr>
          <w:rFonts w:ascii="Times New Roman" w:hAnsi="Times New Roman" w:eastAsia="方正黑体_GBK" w:cs="Times New Roman"/>
          <w:sz w:val="32"/>
          <w:szCs w:val="20"/>
        </w:rPr>
      </w:pPr>
      <w:r>
        <w:rPr>
          <w:rFonts w:ascii="Times New Roman" w:hAnsi="Times New Roman" w:eastAsia="方正黑体_GBK" w:cs="Times New Roman"/>
          <w:sz w:val="32"/>
          <w:szCs w:val="20"/>
        </w:rPr>
        <w:t>第七章 附则</w:t>
      </w:r>
    </w:p>
    <w:p>
      <w:pPr>
        <w:spacing w:line="578" w:lineRule="exact"/>
        <w:ind w:firstLine="640" w:firstLineChars="200"/>
        <w:rPr>
          <w:rFonts w:ascii="Times New Roman" w:hAnsi="Times New Roman" w:eastAsia="方正仿宋_GBK" w:cs="Times New Roman"/>
          <w:sz w:val="32"/>
          <w:szCs w:val="20"/>
        </w:rPr>
      </w:pP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20"/>
        </w:rPr>
        <w:t>第三十</w:t>
      </w:r>
      <w:r>
        <w:rPr>
          <w:rFonts w:hint="eastAsia" w:ascii="Times New Roman" w:hAnsi="Times New Roman" w:eastAsia="方正黑体_GBK" w:cs="Times New Roman"/>
          <w:sz w:val="32"/>
          <w:szCs w:val="20"/>
        </w:rPr>
        <w:t>四</w:t>
      </w:r>
      <w:r>
        <w:rPr>
          <w:rFonts w:ascii="Times New Roman" w:hAnsi="Times New Roman" w:eastAsia="方正黑体_GBK" w:cs="Times New Roman"/>
          <w:sz w:val="32"/>
          <w:szCs w:val="20"/>
        </w:rPr>
        <w:t>条</w:t>
      </w:r>
      <w:r>
        <w:rPr>
          <w:rFonts w:ascii="Times New Roman" w:hAnsi="Times New Roman" w:eastAsia="方正仿宋_GBK" w:cs="Times New Roman"/>
          <w:sz w:val="32"/>
          <w:szCs w:val="20"/>
        </w:rPr>
        <w:t xml:space="preserve"> </w:t>
      </w:r>
      <w:r>
        <w:rPr>
          <w:rFonts w:ascii="Times New Roman" w:hAnsi="Times New Roman" w:eastAsia="方正仿宋_GBK" w:cs="Times New Roman"/>
          <w:sz w:val="32"/>
          <w:szCs w:val="32"/>
        </w:rPr>
        <w:t xml:space="preserve"> 本办法</w:t>
      </w:r>
      <w:r>
        <w:rPr>
          <w:rFonts w:hint="eastAsia" w:ascii="Times New Roman" w:hAnsi="Times New Roman" w:eastAsia="方正仿宋_GBK" w:cs="Times New Roman"/>
          <w:sz w:val="32"/>
          <w:szCs w:val="32"/>
        </w:rPr>
        <w:t>中</w:t>
      </w:r>
      <w:r>
        <w:rPr>
          <w:rFonts w:ascii="Times New Roman" w:hAnsi="Times New Roman" w:eastAsia="方正仿宋_GBK" w:cs="Times New Roman"/>
          <w:sz w:val="32"/>
          <w:szCs w:val="32"/>
        </w:rPr>
        <w:t>关于创业担保贷款</w:t>
      </w:r>
      <w:r>
        <w:rPr>
          <w:rFonts w:hint="eastAsia" w:ascii="Times New Roman" w:hAnsi="Times New Roman" w:eastAsia="方正仿宋_GBK" w:cs="Times New Roman"/>
          <w:sz w:val="32"/>
          <w:szCs w:val="32"/>
        </w:rPr>
        <w:t>贴息</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财政支持</w:t>
      </w:r>
      <w:r>
        <w:rPr>
          <w:rFonts w:ascii="Times New Roman" w:hAnsi="Times New Roman" w:eastAsia="方正仿宋_GBK" w:cs="Times New Roman"/>
          <w:sz w:val="32"/>
          <w:szCs w:val="32"/>
        </w:rPr>
        <w:t>普惠金融发展示范区</w:t>
      </w:r>
      <w:r>
        <w:rPr>
          <w:rFonts w:hint="eastAsia" w:ascii="Times New Roman" w:hAnsi="Times New Roman" w:eastAsia="方正仿宋_GBK" w:cs="Times New Roman"/>
          <w:sz w:val="32"/>
          <w:szCs w:val="32"/>
        </w:rPr>
        <w:t>奖补</w:t>
      </w:r>
      <w:r>
        <w:rPr>
          <w:rFonts w:ascii="Times New Roman" w:hAnsi="Times New Roman" w:eastAsia="方正仿宋_GBK" w:cs="Times New Roman"/>
          <w:sz w:val="32"/>
          <w:szCs w:val="32"/>
        </w:rPr>
        <w:t>、农村金融机构定向费用</w:t>
      </w:r>
      <w:r>
        <w:rPr>
          <w:rFonts w:hint="eastAsia" w:ascii="Times New Roman" w:hAnsi="Times New Roman" w:eastAsia="方正仿宋_GBK" w:cs="Times New Roman"/>
          <w:sz w:val="32"/>
          <w:szCs w:val="32"/>
        </w:rPr>
        <w:t>奖补的政策</w:t>
      </w:r>
      <w:r>
        <w:rPr>
          <w:rFonts w:ascii="Times New Roman" w:hAnsi="Times New Roman" w:eastAsia="方正仿宋_GBK" w:cs="Times New Roman"/>
          <w:sz w:val="32"/>
          <w:szCs w:val="32"/>
        </w:rPr>
        <w:t>自2023年10月1日起</w:t>
      </w:r>
      <w:r>
        <w:rPr>
          <w:rFonts w:hint="eastAsia" w:ascii="Times New Roman" w:hAnsi="Times New Roman" w:eastAsia="方正仿宋_GBK" w:cs="Times New Roman"/>
          <w:sz w:val="32"/>
          <w:szCs w:val="32"/>
        </w:rPr>
        <w:t>算</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执行</w:t>
      </w:r>
      <w:r>
        <w:rPr>
          <w:rFonts w:ascii="Times New Roman" w:hAnsi="Times New Roman" w:eastAsia="方正仿宋_GBK" w:cs="Times New Roman"/>
          <w:sz w:val="32"/>
          <w:szCs w:val="32"/>
        </w:rPr>
        <w:t>期限五年。</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20"/>
        </w:rPr>
        <w:t>第三十</w:t>
      </w:r>
      <w:r>
        <w:rPr>
          <w:rFonts w:hint="eastAsia" w:ascii="Times New Roman" w:hAnsi="Times New Roman" w:eastAsia="方正黑体_GBK" w:cs="Times New Roman"/>
          <w:sz w:val="32"/>
          <w:szCs w:val="20"/>
        </w:rPr>
        <w:t>五</w:t>
      </w:r>
      <w:r>
        <w:rPr>
          <w:rFonts w:ascii="Times New Roman" w:hAnsi="Times New Roman" w:eastAsia="方正黑体_GBK" w:cs="Times New Roman"/>
          <w:sz w:val="32"/>
          <w:szCs w:val="20"/>
        </w:rPr>
        <w:t>条</w:t>
      </w:r>
      <w:r>
        <w:rPr>
          <w:rFonts w:ascii="Times New Roman" w:hAnsi="Times New Roman" w:eastAsia="方正仿宋_GBK" w:cs="Times New Roman"/>
          <w:sz w:val="32"/>
          <w:szCs w:val="20"/>
        </w:rPr>
        <w:t xml:space="preserve"> </w:t>
      </w:r>
      <w:r>
        <w:rPr>
          <w:rFonts w:ascii="Times New Roman" w:hAnsi="Times New Roman" w:eastAsia="方正仿宋_GBK" w:cs="Times New Roman"/>
          <w:sz w:val="32"/>
          <w:szCs w:val="32"/>
        </w:rPr>
        <w:t>2023年9月30日前发放的创业担保贷款</w:t>
      </w:r>
      <w:r>
        <w:rPr>
          <w:rFonts w:hint="eastAsia" w:ascii="Times New Roman" w:hAnsi="Times New Roman" w:eastAsia="方正仿宋_GBK" w:cs="Times New Roman"/>
          <w:sz w:val="32"/>
          <w:szCs w:val="32"/>
        </w:rPr>
        <w:t>，参照</w:t>
      </w:r>
      <w:r>
        <w:rPr>
          <w:rFonts w:ascii="Times New Roman" w:hAnsi="Times New Roman" w:eastAsia="方正仿宋_GBK" w:cs="Times New Roman"/>
          <w:sz w:val="32"/>
          <w:szCs w:val="32"/>
        </w:rPr>
        <w:t>《关于印发〈重庆市普惠金融资金管理办法〉的通知》（渝财规〔2020〕10号）</w:t>
      </w:r>
      <w:r>
        <w:rPr>
          <w:rFonts w:hint="eastAsia" w:ascii="Times New Roman" w:hAnsi="Times New Roman" w:eastAsia="方正仿宋_GBK" w:cs="Times New Roman"/>
          <w:sz w:val="32"/>
          <w:szCs w:val="32"/>
        </w:rPr>
        <w:t>规定</w:t>
      </w:r>
      <w:r>
        <w:rPr>
          <w:rFonts w:ascii="Times New Roman" w:hAnsi="Times New Roman" w:eastAsia="方正仿宋_GBK" w:cs="Times New Roman"/>
          <w:sz w:val="32"/>
          <w:szCs w:val="32"/>
        </w:rPr>
        <w:t>的标准执行。</w:t>
      </w:r>
    </w:p>
    <w:p>
      <w:pPr>
        <w:spacing w:line="578" w:lineRule="exact"/>
        <w:ind w:firstLine="640" w:firstLineChars="200"/>
        <w:rPr>
          <w:rFonts w:ascii="Times New Roman" w:hAnsi="Times New Roman" w:eastAsia="方正仿宋_GBK" w:cs="Times New Roman"/>
          <w:sz w:val="32"/>
          <w:szCs w:val="20"/>
        </w:rPr>
      </w:pPr>
      <w:r>
        <w:rPr>
          <w:rFonts w:hint="eastAsia" w:ascii="Times New Roman" w:hAnsi="Times New Roman" w:eastAsia="方正黑体_GBK" w:cs="Times New Roman"/>
          <w:sz w:val="32"/>
          <w:szCs w:val="20"/>
        </w:rPr>
        <w:t>第三十六条</w:t>
      </w:r>
      <w:r>
        <w:rPr>
          <w:rFonts w:hint="eastAsia" w:ascii="Times New Roman" w:hAnsi="Times New Roman" w:eastAsia="方正仿宋_GBK" w:cs="Times New Roman"/>
          <w:sz w:val="32"/>
          <w:szCs w:val="20"/>
        </w:rPr>
        <w:t xml:space="preserve"> 《</w:t>
      </w:r>
      <w:r>
        <w:rPr>
          <w:rFonts w:ascii="Times New Roman" w:hAnsi="Times New Roman" w:eastAsia="方正仿宋_GBK" w:cs="Times New Roman"/>
          <w:sz w:val="32"/>
          <w:szCs w:val="20"/>
        </w:rPr>
        <w:t>关于印发〈重庆市普惠金融资金管理办法〉的通知》（渝财规〔2020〕10号）、《关于进一步加强创业担保贷款工作的通知》（渝财金〔2022〕32号）</w:t>
      </w:r>
      <w:r>
        <w:rPr>
          <w:rFonts w:hint="eastAsia" w:ascii="Times New Roman" w:hAnsi="Times New Roman" w:eastAsia="方正仿宋_GBK" w:cs="Times New Roman"/>
          <w:sz w:val="32"/>
          <w:szCs w:val="20"/>
        </w:rPr>
        <w:t>、《关于重庆市小微企业融资担保基金管理有关问题的通知》（</w:t>
      </w:r>
      <w:r>
        <w:rPr>
          <w:rFonts w:ascii="Times New Roman" w:hAnsi="Times New Roman" w:eastAsia="方正仿宋_GBK" w:cs="Times New Roman"/>
          <w:sz w:val="32"/>
          <w:szCs w:val="20"/>
        </w:rPr>
        <w:t>渝财社字</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2015</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199</w:t>
      </w:r>
      <w:r>
        <w:rPr>
          <w:rFonts w:hint="eastAsia" w:ascii="Times New Roman" w:hAnsi="Times New Roman" w:eastAsia="方正仿宋_GBK" w:cs="Times New Roman"/>
          <w:sz w:val="32"/>
          <w:szCs w:val="20"/>
        </w:rPr>
        <w:t>号）</w:t>
      </w:r>
      <w:r>
        <w:rPr>
          <w:rFonts w:ascii="Times New Roman" w:hAnsi="Times New Roman" w:eastAsia="方正仿宋_GBK" w:cs="Times New Roman"/>
          <w:sz w:val="32"/>
          <w:szCs w:val="20"/>
        </w:rPr>
        <w:t>同时废止，有关规定与本办法不一致的，以本办法为准。</w:t>
      </w:r>
      <w:r>
        <w:rPr>
          <w:rFonts w:hint="eastAsia" w:ascii="Times New Roman" w:hAnsi="Times New Roman" w:eastAsia="方正仿宋_GBK" w:cs="Times New Roman"/>
          <w:sz w:val="32"/>
          <w:szCs w:val="20"/>
        </w:rPr>
        <w:t>财政部</w:t>
      </w:r>
      <w:r>
        <w:rPr>
          <w:rFonts w:ascii="Times New Roman" w:hAnsi="Times New Roman" w:eastAsia="方正仿宋_GBK" w:cs="Times New Roman"/>
          <w:sz w:val="32"/>
          <w:szCs w:val="20"/>
        </w:rPr>
        <w:t>另有规定的，从其规定。</w:t>
      </w:r>
    </w:p>
    <w:p>
      <w:pPr>
        <w:spacing w:line="578" w:lineRule="exact"/>
        <w:ind w:firstLine="640" w:firstLineChars="200"/>
        <w:rPr>
          <w:rFonts w:ascii="Times New Roman" w:hAnsi="Times New Roman" w:eastAsia="方正仿宋_GBK" w:cs="Times New Roman"/>
          <w:sz w:val="32"/>
          <w:szCs w:val="20"/>
        </w:rPr>
      </w:pPr>
      <w:r>
        <w:rPr>
          <w:rFonts w:hint="eastAsia" w:ascii="Times New Roman" w:hAnsi="Times New Roman" w:eastAsia="方正黑体_GBK" w:cs="Times New Roman"/>
          <w:sz w:val="32"/>
          <w:szCs w:val="20"/>
        </w:rPr>
        <w:t>第三十七条</w:t>
      </w:r>
      <w:r>
        <w:rPr>
          <w:rFonts w:hint="eastAsia" w:ascii="Times New Roman" w:hAnsi="Times New Roman" w:eastAsia="方正仿宋_GBK" w:cs="Times New Roman"/>
          <w:sz w:val="32"/>
          <w:szCs w:val="20"/>
        </w:rPr>
        <w:t xml:space="preserve"> 本办法由市财政局负责解释。</w:t>
      </w:r>
    </w:p>
    <w:p>
      <w:pPr>
        <w:spacing w:line="578" w:lineRule="exact"/>
        <w:ind w:firstLine="640" w:firstLineChars="200"/>
        <w:rPr>
          <w:rFonts w:ascii="Times New Roman" w:hAnsi="Times New Roman" w:eastAsia="方正仿宋_GBK" w:cs="Times New Roman"/>
          <w:sz w:val="32"/>
          <w:szCs w:val="20"/>
        </w:rPr>
      </w:pPr>
    </w:p>
    <w:p>
      <w:pPr>
        <w:spacing w:line="578"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附件：1.普惠金融发展专项资金绩效目标自评表</w:t>
      </w:r>
    </w:p>
    <w:p>
      <w:pPr>
        <w:spacing w:line="578" w:lineRule="exact"/>
        <w:ind w:firstLine="1600" w:firstLineChars="5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2.普惠金融发展专项资金申报表</w:t>
      </w:r>
    </w:p>
    <w:p>
      <w:pPr>
        <w:spacing w:line="578" w:lineRule="exact"/>
        <w:ind w:firstLine="1600" w:firstLineChars="5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3.普惠金融发展专项资金绩效目标申报表</w:t>
      </w:r>
    </w:p>
    <w:p>
      <w:pPr>
        <w:spacing w:line="578" w:lineRule="exact"/>
        <w:ind w:firstLine="1600" w:firstLineChars="5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4.财政支持普惠金融示范区评审指标表</w:t>
      </w:r>
    </w:p>
    <w:p>
      <w:pPr>
        <w:spacing w:line="580" w:lineRule="exact"/>
        <w:ind w:firstLine="1600" w:firstLineChars="500"/>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20"/>
        </w:rPr>
        <w:t>5.财政支持普惠金融示范区绩效考核表</w:t>
      </w:r>
      <w:bookmarkStart w:id="1" w:name="_GoBack"/>
      <w:bookmarkEnd w:id="1"/>
    </w:p>
    <w:p>
      <w:pPr>
        <w:spacing w:line="578" w:lineRule="exact"/>
        <w:rPr>
          <w:rFonts w:ascii="方正仿宋_GBK" w:hAnsi="方正仿宋_GBK" w:eastAsia="方正仿宋_GBK" w:cs="方正仿宋_GBK"/>
          <w:sz w:val="32"/>
          <w:szCs w:val="32"/>
        </w:rPr>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pPr>
    </w:p>
    <w:tbl>
      <w:tblPr>
        <w:tblStyle w:val="8"/>
        <w:tblW w:w="12665" w:type="dxa"/>
        <w:tblInd w:w="93" w:type="dxa"/>
        <w:tblLayout w:type="autofit"/>
        <w:tblCellMar>
          <w:top w:w="0" w:type="dxa"/>
          <w:left w:w="108" w:type="dxa"/>
          <w:bottom w:w="0" w:type="dxa"/>
          <w:right w:w="108" w:type="dxa"/>
        </w:tblCellMar>
      </w:tblPr>
      <w:tblGrid>
        <w:gridCol w:w="2340"/>
        <w:gridCol w:w="2340"/>
        <w:gridCol w:w="2310"/>
        <w:gridCol w:w="2340"/>
        <w:gridCol w:w="2340"/>
        <w:gridCol w:w="995"/>
      </w:tblGrid>
      <w:tr>
        <w:tblPrEx>
          <w:tblCellMar>
            <w:top w:w="0" w:type="dxa"/>
            <w:left w:w="108" w:type="dxa"/>
            <w:bottom w:w="0" w:type="dxa"/>
            <w:right w:w="108" w:type="dxa"/>
          </w:tblCellMar>
        </w:tblPrEx>
        <w:trPr>
          <w:trHeight w:val="405" w:hRule="atLeast"/>
        </w:trPr>
        <w:tc>
          <w:tcPr>
            <w:tcW w:w="2340" w:type="dxa"/>
            <w:tcBorders>
              <w:top w:val="nil"/>
              <w:left w:val="nil"/>
              <w:bottom w:val="nil"/>
              <w:right w:val="nil"/>
            </w:tcBorders>
            <w:shd w:val="clear" w:color="auto" w:fill="FFFFFF"/>
            <w:noWrap/>
            <w:vAlign w:val="center"/>
          </w:tcPr>
          <w:p>
            <w:pPr>
              <w:widowControl/>
              <w:jc w:val="left"/>
              <w:textAlignment w:val="center"/>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kern w:val="0"/>
                <w:sz w:val="32"/>
                <w:szCs w:val="32"/>
                <w:lang w:bidi="ar"/>
              </w:rPr>
              <w:t>附件1-1</w:t>
            </w:r>
          </w:p>
        </w:tc>
        <w:tc>
          <w:tcPr>
            <w:tcW w:w="2340" w:type="dxa"/>
            <w:tcBorders>
              <w:top w:val="nil"/>
              <w:left w:val="nil"/>
              <w:bottom w:val="nil"/>
              <w:right w:val="nil"/>
            </w:tcBorders>
            <w:shd w:val="clear" w:color="auto" w:fill="auto"/>
            <w:noWrap/>
            <w:vAlign w:val="bottom"/>
          </w:tcPr>
          <w:p>
            <w:pPr>
              <w:rPr>
                <w:rFonts w:ascii="宋体" w:hAnsi="宋体" w:eastAsia="宋体" w:cs="宋体"/>
                <w:color w:val="000000"/>
                <w:sz w:val="22"/>
                <w:szCs w:val="22"/>
              </w:rPr>
            </w:pPr>
          </w:p>
        </w:tc>
        <w:tc>
          <w:tcPr>
            <w:tcW w:w="2310" w:type="dxa"/>
            <w:tcBorders>
              <w:top w:val="nil"/>
              <w:left w:val="nil"/>
              <w:bottom w:val="nil"/>
              <w:right w:val="nil"/>
            </w:tcBorders>
            <w:shd w:val="clear" w:color="auto" w:fill="auto"/>
            <w:noWrap/>
            <w:vAlign w:val="bottom"/>
          </w:tcPr>
          <w:p>
            <w:pPr>
              <w:rPr>
                <w:rFonts w:ascii="宋体" w:hAnsi="宋体" w:eastAsia="宋体" w:cs="宋体"/>
                <w:color w:val="000000"/>
                <w:sz w:val="22"/>
                <w:szCs w:val="22"/>
              </w:rPr>
            </w:pPr>
          </w:p>
        </w:tc>
        <w:tc>
          <w:tcPr>
            <w:tcW w:w="2340" w:type="dxa"/>
            <w:tcBorders>
              <w:top w:val="nil"/>
              <w:left w:val="nil"/>
              <w:bottom w:val="nil"/>
              <w:right w:val="nil"/>
            </w:tcBorders>
            <w:shd w:val="clear" w:color="auto" w:fill="auto"/>
            <w:noWrap/>
            <w:vAlign w:val="bottom"/>
          </w:tcPr>
          <w:p>
            <w:pPr>
              <w:rPr>
                <w:rFonts w:ascii="宋体" w:hAnsi="宋体" w:eastAsia="宋体" w:cs="宋体"/>
                <w:color w:val="000000"/>
                <w:sz w:val="22"/>
                <w:szCs w:val="22"/>
              </w:rPr>
            </w:pPr>
          </w:p>
        </w:tc>
        <w:tc>
          <w:tcPr>
            <w:tcW w:w="2340" w:type="dxa"/>
            <w:tcBorders>
              <w:top w:val="nil"/>
              <w:left w:val="nil"/>
              <w:bottom w:val="nil"/>
              <w:right w:val="nil"/>
            </w:tcBorders>
            <w:shd w:val="clear" w:color="auto" w:fill="auto"/>
            <w:noWrap/>
            <w:vAlign w:val="bottom"/>
          </w:tcPr>
          <w:p>
            <w:pPr>
              <w:rPr>
                <w:rFonts w:ascii="宋体" w:hAnsi="宋体" w:eastAsia="宋体" w:cs="宋体"/>
                <w:color w:val="000000"/>
                <w:sz w:val="22"/>
                <w:szCs w:val="22"/>
              </w:rPr>
            </w:pPr>
          </w:p>
        </w:tc>
        <w:tc>
          <w:tcPr>
            <w:tcW w:w="995" w:type="dxa"/>
            <w:tcBorders>
              <w:top w:val="nil"/>
              <w:left w:val="nil"/>
              <w:bottom w:val="nil"/>
              <w:right w:val="nil"/>
            </w:tcBorders>
            <w:shd w:val="clear" w:color="auto" w:fill="auto"/>
            <w:noWrap/>
            <w:vAlign w:val="bottom"/>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840" w:hRule="atLeast"/>
        </w:trPr>
        <w:tc>
          <w:tcPr>
            <w:tcW w:w="0" w:type="auto"/>
            <w:tcBorders>
              <w:top w:val="nil"/>
              <w:left w:val="nil"/>
              <w:bottom w:val="nil"/>
              <w:right w:val="nil"/>
            </w:tcBorders>
            <w:shd w:val="clear" w:color="auto" w:fill="auto"/>
            <w:noWrap/>
            <w:vAlign w:val="bottom"/>
          </w:tcPr>
          <w:p>
            <w:pPr>
              <w:rPr>
                <w:rFonts w:ascii="宋体" w:hAnsi="宋体" w:eastAsia="宋体" w:cs="宋体"/>
                <w:color w:val="000000"/>
                <w:sz w:val="36"/>
                <w:szCs w:val="36"/>
              </w:rPr>
            </w:pPr>
          </w:p>
        </w:tc>
        <w:tc>
          <w:tcPr>
            <w:tcW w:w="0" w:type="auto"/>
            <w:tcBorders>
              <w:top w:val="nil"/>
              <w:left w:val="nil"/>
              <w:bottom w:val="nil"/>
              <w:right w:val="nil"/>
            </w:tcBorders>
            <w:shd w:val="clear" w:color="auto" w:fill="auto"/>
            <w:noWrap/>
            <w:vAlign w:val="bottom"/>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bottom"/>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bottom"/>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bottom"/>
          </w:tcPr>
          <w:p>
            <w:pPr>
              <w:rPr>
                <w:rFonts w:ascii="宋体" w:hAnsi="宋体" w:eastAsia="宋体" w:cs="宋体"/>
                <w:color w:val="000000"/>
                <w:sz w:val="22"/>
                <w:szCs w:val="22"/>
              </w:rPr>
            </w:pPr>
          </w:p>
        </w:tc>
        <w:tc>
          <w:tcPr>
            <w:tcW w:w="995" w:type="dxa"/>
            <w:tcBorders>
              <w:top w:val="nil"/>
              <w:left w:val="nil"/>
              <w:bottom w:val="nil"/>
              <w:right w:val="nil"/>
            </w:tcBorders>
            <w:shd w:val="clear" w:color="auto" w:fill="auto"/>
            <w:noWrap/>
            <w:vAlign w:val="bottom"/>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bottom"/>
          </w:tcPr>
          <w:p>
            <w:pPr>
              <w:rPr>
                <w:rFonts w:ascii="宋体" w:hAnsi="宋体" w:eastAsia="宋体" w:cs="宋体"/>
                <w:color w:val="000000"/>
                <w:sz w:val="36"/>
                <w:szCs w:val="36"/>
              </w:rPr>
            </w:pPr>
          </w:p>
        </w:tc>
        <w:tc>
          <w:tcPr>
            <w:tcW w:w="0" w:type="auto"/>
            <w:tcBorders>
              <w:top w:val="nil"/>
              <w:left w:val="nil"/>
              <w:bottom w:val="nil"/>
              <w:right w:val="nil"/>
            </w:tcBorders>
            <w:shd w:val="clear" w:color="auto" w:fill="auto"/>
            <w:noWrap/>
            <w:vAlign w:val="bottom"/>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bottom"/>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bottom"/>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bottom"/>
          </w:tcPr>
          <w:p>
            <w:pPr>
              <w:rPr>
                <w:rFonts w:ascii="宋体" w:hAnsi="宋体" w:eastAsia="宋体" w:cs="宋体"/>
                <w:color w:val="000000"/>
                <w:sz w:val="22"/>
                <w:szCs w:val="22"/>
              </w:rPr>
            </w:pPr>
          </w:p>
        </w:tc>
        <w:tc>
          <w:tcPr>
            <w:tcW w:w="995" w:type="dxa"/>
            <w:tcBorders>
              <w:top w:val="nil"/>
              <w:left w:val="nil"/>
              <w:bottom w:val="nil"/>
              <w:right w:val="nil"/>
            </w:tcBorders>
            <w:shd w:val="clear" w:color="auto" w:fill="auto"/>
            <w:noWrap/>
            <w:vAlign w:val="bottom"/>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450" w:hRule="atLeast"/>
        </w:trPr>
        <w:tc>
          <w:tcPr>
            <w:tcW w:w="0" w:type="auto"/>
            <w:tcBorders>
              <w:top w:val="nil"/>
              <w:left w:val="nil"/>
              <w:bottom w:val="nil"/>
              <w:right w:val="nil"/>
            </w:tcBorders>
            <w:shd w:val="clear" w:color="auto" w:fill="auto"/>
            <w:noWrap/>
            <w:vAlign w:val="bottom"/>
          </w:tcPr>
          <w:p>
            <w:pPr>
              <w:rPr>
                <w:rFonts w:ascii="宋体" w:hAnsi="宋体" w:eastAsia="宋体" w:cs="宋体"/>
                <w:color w:val="000000"/>
                <w:sz w:val="36"/>
                <w:szCs w:val="36"/>
              </w:rPr>
            </w:pPr>
          </w:p>
        </w:tc>
        <w:tc>
          <w:tcPr>
            <w:tcW w:w="0" w:type="auto"/>
            <w:tcBorders>
              <w:top w:val="nil"/>
              <w:left w:val="nil"/>
              <w:bottom w:val="nil"/>
              <w:right w:val="nil"/>
            </w:tcBorders>
            <w:shd w:val="clear" w:color="auto" w:fill="auto"/>
            <w:noWrap/>
            <w:vAlign w:val="bottom"/>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bottom"/>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bottom"/>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bottom"/>
          </w:tcPr>
          <w:p>
            <w:pPr>
              <w:rPr>
                <w:rFonts w:ascii="宋体" w:hAnsi="宋体" w:eastAsia="宋体" w:cs="宋体"/>
                <w:color w:val="000000"/>
                <w:sz w:val="22"/>
                <w:szCs w:val="22"/>
              </w:rPr>
            </w:pPr>
          </w:p>
        </w:tc>
        <w:tc>
          <w:tcPr>
            <w:tcW w:w="995" w:type="dxa"/>
            <w:tcBorders>
              <w:top w:val="nil"/>
              <w:left w:val="nil"/>
              <w:bottom w:val="nil"/>
              <w:right w:val="nil"/>
            </w:tcBorders>
            <w:shd w:val="clear" w:color="auto" w:fill="auto"/>
            <w:noWrap/>
            <w:vAlign w:val="bottom"/>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3080" w:hRule="atLeast"/>
        </w:trPr>
        <w:tc>
          <w:tcPr>
            <w:tcW w:w="12665" w:type="dxa"/>
            <w:gridSpan w:val="6"/>
            <w:tcBorders>
              <w:top w:val="nil"/>
              <w:left w:val="nil"/>
              <w:bottom w:val="nil"/>
              <w:right w:val="nil"/>
            </w:tcBorders>
            <w:shd w:val="clear" w:color="auto" w:fill="auto"/>
            <w:vAlign w:val="center"/>
          </w:tcPr>
          <w:p>
            <w:pPr>
              <w:widowControl/>
              <w:jc w:val="center"/>
              <w:textAlignment w:val="center"/>
              <w:rPr>
                <w:rFonts w:ascii="华文中宋" w:hAnsi="华文中宋" w:eastAsia="华文中宋" w:cs="华文中宋"/>
                <w:b/>
                <w:bCs/>
                <w:color w:val="000000"/>
                <w:sz w:val="92"/>
                <w:szCs w:val="92"/>
              </w:rPr>
            </w:pPr>
            <w:r>
              <w:rPr>
                <w:rFonts w:hint="eastAsia" w:ascii="华文中宋" w:hAnsi="华文中宋" w:eastAsia="华文中宋" w:cs="华文中宋"/>
                <w:b/>
                <w:bCs/>
                <w:color w:val="000000"/>
                <w:kern w:val="0"/>
                <w:sz w:val="92"/>
                <w:szCs w:val="92"/>
                <w:lang w:bidi="ar"/>
              </w:rPr>
              <w:t>普惠金融发展</w:t>
            </w:r>
            <w:r>
              <w:rPr>
                <w:rFonts w:hint="eastAsia" w:ascii="华文中宋" w:hAnsi="华文中宋" w:eastAsia="华文中宋" w:cs="华文中宋"/>
                <w:b/>
                <w:bCs/>
                <w:color w:val="000000"/>
                <w:kern w:val="0"/>
                <w:sz w:val="92"/>
                <w:szCs w:val="92"/>
                <w:lang w:bidi="ar"/>
              </w:rPr>
              <w:br w:type="textWrapping"/>
            </w:r>
            <w:r>
              <w:rPr>
                <w:rFonts w:hint="eastAsia" w:ascii="华文中宋" w:hAnsi="华文中宋" w:eastAsia="华文中宋" w:cs="华文中宋"/>
                <w:b/>
                <w:bCs/>
                <w:color w:val="000000"/>
                <w:kern w:val="0"/>
                <w:sz w:val="92"/>
                <w:szCs w:val="92"/>
                <w:lang w:bidi="ar"/>
              </w:rPr>
              <w:t>专项资金申报表</w:t>
            </w:r>
          </w:p>
        </w:tc>
      </w:tr>
      <w:tr>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bottom"/>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bottom"/>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bottom"/>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bottom"/>
          </w:tcPr>
          <w:p>
            <w:pPr>
              <w:rPr>
                <w:rFonts w:ascii="宋体" w:hAnsi="宋体" w:eastAsia="宋体" w:cs="宋体"/>
                <w:color w:val="000000"/>
                <w:sz w:val="22"/>
                <w:szCs w:val="22"/>
              </w:rPr>
            </w:pPr>
          </w:p>
        </w:tc>
        <w:tc>
          <w:tcPr>
            <w:tcW w:w="995" w:type="dxa"/>
            <w:tcBorders>
              <w:top w:val="nil"/>
              <w:left w:val="nil"/>
              <w:bottom w:val="nil"/>
              <w:right w:val="nil"/>
            </w:tcBorders>
            <w:shd w:val="clear" w:color="auto" w:fill="auto"/>
            <w:noWrap/>
            <w:vAlign w:val="bottom"/>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bottom"/>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bottom"/>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bottom"/>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bottom"/>
          </w:tcPr>
          <w:p>
            <w:pPr>
              <w:rPr>
                <w:rFonts w:ascii="宋体" w:hAnsi="宋体" w:eastAsia="宋体" w:cs="宋体"/>
                <w:color w:val="000000"/>
                <w:sz w:val="22"/>
                <w:szCs w:val="22"/>
              </w:rPr>
            </w:pPr>
          </w:p>
        </w:tc>
        <w:tc>
          <w:tcPr>
            <w:tcW w:w="995" w:type="dxa"/>
            <w:tcBorders>
              <w:top w:val="nil"/>
              <w:left w:val="nil"/>
              <w:bottom w:val="nil"/>
              <w:right w:val="nil"/>
            </w:tcBorders>
            <w:shd w:val="clear" w:color="auto" w:fill="auto"/>
            <w:noWrap/>
            <w:vAlign w:val="bottom"/>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375" w:hRule="atLeast"/>
        </w:trPr>
        <w:tc>
          <w:tcPr>
            <w:tcW w:w="0" w:type="auto"/>
            <w:gridSpan w:val="3"/>
            <w:tcBorders>
              <w:top w:val="nil"/>
              <w:left w:val="nil"/>
              <w:bottom w:val="nil"/>
              <w:right w:val="nil"/>
            </w:tcBorders>
            <w:shd w:val="clear" w:color="auto" w:fill="auto"/>
            <w:noWrap/>
            <w:vAlign w:val="bottom"/>
          </w:tcPr>
          <w:p>
            <w:pPr>
              <w:widowControl/>
              <w:jc w:val="center"/>
              <w:textAlignment w:val="bottom"/>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申报单位：        财政局（公章）</w:t>
            </w:r>
          </w:p>
        </w:tc>
        <w:tc>
          <w:tcPr>
            <w:tcW w:w="0" w:type="auto"/>
            <w:tcBorders>
              <w:top w:val="nil"/>
              <w:left w:val="nil"/>
              <w:bottom w:val="nil"/>
              <w:right w:val="nil"/>
            </w:tcBorders>
            <w:shd w:val="clear" w:color="auto" w:fill="auto"/>
            <w:noWrap/>
            <w:vAlign w:val="bottom"/>
          </w:tcPr>
          <w:p>
            <w:pPr>
              <w:rPr>
                <w:rFonts w:ascii="宋体" w:hAnsi="宋体" w:eastAsia="宋体" w:cs="宋体"/>
                <w:color w:val="000000"/>
                <w:sz w:val="28"/>
                <w:szCs w:val="28"/>
              </w:rPr>
            </w:pPr>
          </w:p>
        </w:tc>
        <w:tc>
          <w:tcPr>
            <w:tcW w:w="0" w:type="auto"/>
            <w:tcBorders>
              <w:top w:val="nil"/>
              <w:left w:val="nil"/>
              <w:bottom w:val="nil"/>
              <w:right w:val="nil"/>
            </w:tcBorders>
            <w:shd w:val="clear" w:color="auto" w:fill="auto"/>
            <w:noWrap/>
            <w:vAlign w:val="bottom"/>
          </w:tcPr>
          <w:p>
            <w:pPr>
              <w:widowControl/>
              <w:jc w:val="center"/>
              <w:textAlignment w:val="bottom"/>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申报时间：</w:t>
            </w:r>
          </w:p>
        </w:tc>
        <w:tc>
          <w:tcPr>
            <w:tcW w:w="995" w:type="dxa"/>
            <w:tcBorders>
              <w:top w:val="nil"/>
              <w:left w:val="nil"/>
              <w:bottom w:val="nil"/>
              <w:right w:val="nil"/>
            </w:tcBorders>
            <w:shd w:val="clear" w:color="auto" w:fill="auto"/>
            <w:noWrap/>
            <w:vAlign w:val="bottom"/>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300" w:hRule="atLeast"/>
        </w:trPr>
        <w:tc>
          <w:tcPr>
            <w:tcW w:w="12665" w:type="dxa"/>
            <w:gridSpan w:val="6"/>
            <w:tcBorders>
              <w:top w:val="nil"/>
              <w:left w:val="nil"/>
              <w:bottom w:val="nil"/>
              <w:right w:val="nil"/>
            </w:tcBorders>
            <w:shd w:val="clear" w:color="auto" w:fill="auto"/>
            <w:noWrap/>
            <w:vAlign w:val="center"/>
          </w:tcPr>
          <w:p>
            <w:pPr>
              <w:jc w:val="left"/>
              <w:rPr>
                <w:rFonts w:ascii="方正仿宋_GBK" w:hAnsi="方正仿宋_GBK" w:eastAsia="方正仿宋_GBK" w:cs="方正仿宋_GBK"/>
                <w:color w:val="000000"/>
                <w:sz w:val="22"/>
                <w:szCs w:val="22"/>
              </w:rPr>
            </w:pPr>
          </w:p>
        </w:tc>
      </w:tr>
    </w:tbl>
    <w:p>
      <w:pPr>
        <w:spacing w:line="578" w:lineRule="exact"/>
        <w:rPr>
          <w:rFonts w:ascii="方正仿宋_GBK" w:hAnsi="方正仿宋_GBK" w:eastAsia="方正仿宋_GBK" w:cs="方正仿宋_GBK"/>
          <w:sz w:val="32"/>
          <w:szCs w:val="32"/>
        </w:rPr>
        <w:sectPr>
          <w:headerReference r:id="rId5" w:type="default"/>
          <w:footerReference r:id="rId6" w:type="default"/>
          <w:pgSz w:w="16838" w:h="11906" w:orient="landscape"/>
          <w:pgMar w:top="1587" w:right="1962" w:bottom="1474" w:left="1962" w:header="680" w:footer="1077" w:gutter="0"/>
          <w:pgNumType w:fmt="numberInDash"/>
          <w:cols w:space="0" w:num="1"/>
          <w:docGrid w:type="lines" w:linePitch="312" w:charSpace="0"/>
        </w:sectPr>
      </w:pPr>
    </w:p>
    <w:tbl>
      <w:tblPr>
        <w:tblStyle w:val="8"/>
        <w:tblW w:w="4996" w:type="pct"/>
        <w:tblInd w:w="0" w:type="dxa"/>
        <w:tblLayout w:type="autofit"/>
        <w:tblCellMar>
          <w:top w:w="0" w:type="dxa"/>
          <w:left w:w="108" w:type="dxa"/>
          <w:bottom w:w="0" w:type="dxa"/>
          <w:right w:w="108" w:type="dxa"/>
        </w:tblCellMar>
      </w:tblPr>
      <w:tblGrid>
        <w:gridCol w:w="1045"/>
        <w:gridCol w:w="1036"/>
        <w:gridCol w:w="1226"/>
        <w:gridCol w:w="1007"/>
        <w:gridCol w:w="1175"/>
        <w:gridCol w:w="1358"/>
        <w:gridCol w:w="380"/>
        <w:gridCol w:w="380"/>
        <w:gridCol w:w="380"/>
        <w:gridCol w:w="1540"/>
        <w:gridCol w:w="380"/>
        <w:gridCol w:w="223"/>
        <w:gridCol w:w="225"/>
        <w:gridCol w:w="380"/>
        <w:gridCol w:w="2015"/>
        <w:gridCol w:w="380"/>
      </w:tblGrid>
      <w:tr>
        <w:tblPrEx>
          <w:tblCellMar>
            <w:top w:w="0" w:type="dxa"/>
            <w:left w:w="108" w:type="dxa"/>
            <w:bottom w:w="0" w:type="dxa"/>
            <w:right w:w="108" w:type="dxa"/>
          </w:tblCellMar>
        </w:tblPrEx>
        <w:trPr>
          <w:trHeight w:val="570" w:hRule="atLeast"/>
        </w:trPr>
        <w:tc>
          <w:tcPr>
            <w:tcW w:w="296" w:type="pct"/>
            <w:tcBorders>
              <w:top w:val="nil"/>
              <w:left w:val="nil"/>
              <w:bottom w:val="nil"/>
              <w:right w:val="nil"/>
            </w:tcBorders>
            <w:shd w:val="clear" w:color="auto" w:fill="auto"/>
            <w:noWrap/>
            <w:vAlign w:val="center"/>
          </w:tcPr>
          <w:p>
            <w:pPr>
              <w:widowControl/>
              <w:jc w:val="left"/>
              <w:textAlignment w:val="center"/>
              <w:rPr>
                <w:rFonts w:ascii="Times New Roman" w:hAnsi="Times New Roman" w:eastAsia="宋体" w:cs="Times New Roman"/>
                <w:color w:val="000000"/>
                <w:sz w:val="24"/>
              </w:rPr>
            </w:pPr>
            <w:r>
              <w:rPr>
                <w:rStyle w:val="13"/>
                <w:lang w:bidi="ar"/>
              </w:rPr>
              <w:t>附件</w:t>
            </w:r>
            <w:r>
              <w:rPr>
                <w:rStyle w:val="14"/>
                <w:rFonts w:ascii="宋体" w:hAnsi="宋体" w:eastAsia="宋体" w:cs="宋体"/>
                <w:lang w:bidi="ar"/>
              </w:rPr>
              <w:t>1</w:t>
            </w:r>
          </w:p>
        </w:tc>
        <w:tc>
          <w:tcPr>
            <w:tcW w:w="292" w:type="pct"/>
            <w:tcBorders>
              <w:top w:val="nil"/>
              <w:left w:val="nil"/>
              <w:bottom w:val="nil"/>
              <w:right w:val="nil"/>
            </w:tcBorders>
            <w:shd w:val="clear" w:color="auto" w:fill="auto"/>
            <w:noWrap/>
            <w:vAlign w:val="center"/>
          </w:tcPr>
          <w:p>
            <w:pPr>
              <w:rPr>
                <w:rFonts w:ascii="Times New Roman" w:hAnsi="Times New Roman" w:eastAsia="宋体" w:cs="Times New Roman"/>
                <w:color w:val="000000"/>
                <w:sz w:val="22"/>
                <w:szCs w:val="22"/>
              </w:rPr>
            </w:pPr>
          </w:p>
        </w:tc>
        <w:tc>
          <w:tcPr>
            <w:tcW w:w="279" w:type="pct"/>
            <w:tcBorders>
              <w:top w:val="nil"/>
              <w:left w:val="nil"/>
              <w:bottom w:val="nil"/>
              <w:right w:val="nil"/>
            </w:tcBorders>
            <w:shd w:val="clear" w:color="auto" w:fill="auto"/>
            <w:noWrap/>
            <w:vAlign w:val="center"/>
          </w:tcPr>
          <w:p>
            <w:pPr>
              <w:rPr>
                <w:rFonts w:ascii="Times New Roman" w:hAnsi="Times New Roman" w:eastAsia="宋体" w:cs="Times New Roman"/>
                <w:color w:val="000000"/>
                <w:sz w:val="22"/>
                <w:szCs w:val="22"/>
              </w:rPr>
            </w:pPr>
          </w:p>
        </w:tc>
        <w:tc>
          <w:tcPr>
            <w:tcW w:w="225" w:type="pct"/>
            <w:tcBorders>
              <w:top w:val="nil"/>
              <w:left w:val="nil"/>
              <w:bottom w:val="nil"/>
              <w:right w:val="nil"/>
            </w:tcBorders>
            <w:shd w:val="clear" w:color="auto" w:fill="auto"/>
            <w:noWrap/>
            <w:vAlign w:val="center"/>
          </w:tcPr>
          <w:p>
            <w:pPr>
              <w:rPr>
                <w:rFonts w:ascii="Times New Roman" w:hAnsi="Times New Roman" w:eastAsia="宋体" w:cs="Times New Roman"/>
                <w:color w:val="000000"/>
                <w:sz w:val="22"/>
                <w:szCs w:val="22"/>
              </w:rPr>
            </w:pPr>
          </w:p>
        </w:tc>
        <w:tc>
          <w:tcPr>
            <w:tcW w:w="325" w:type="pct"/>
            <w:tcBorders>
              <w:top w:val="nil"/>
              <w:left w:val="nil"/>
              <w:bottom w:val="nil"/>
              <w:right w:val="nil"/>
            </w:tcBorders>
            <w:shd w:val="clear" w:color="auto" w:fill="auto"/>
            <w:noWrap/>
            <w:vAlign w:val="center"/>
          </w:tcPr>
          <w:p>
            <w:pPr>
              <w:rPr>
                <w:rFonts w:ascii="Times New Roman" w:hAnsi="Times New Roman" w:eastAsia="宋体" w:cs="Times New Roman"/>
                <w:color w:val="000000"/>
                <w:sz w:val="22"/>
                <w:szCs w:val="22"/>
              </w:rPr>
            </w:pPr>
          </w:p>
        </w:tc>
        <w:tc>
          <w:tcPr>
            <w:tcW w:w="379" w:type="pct"/>
            <w:tcBorders>
              <w:top w:val="nil"/>
              <w:left w:val="nil"/>
              <w:bottom w:val="nil"/>
              <w:right w:val="nil"/>
            </w:tcBorders>
            <w:shd w:val="clear" w:color="auto" w:fill="auto"/>
            <w:noWrap/>
            <w:vAlign w:val="center"/>
          </w:tcPr>
          <w:p>
            <w:pPr>
              <w:rPr>
                <w:rFonts w:ascii="Times New Roman" w:hAnsi="Times New Roman" w:eastAsia="宋体" w:cs="Times New Roman"/>
                <w:color w:val="000000"/>
                <w:sz w:val="22"/>
                <w:szCs w:val="22"/>
              </w:rPr>
            </w:pPr>
          </w:p>
        </w:tc>
        <w:tc>
          <w:tcPr>
            <w:tcW w:w="195" w:type="pct"/>
            <w:tcBorders>
              <w:top w:val="nil"/>
              <w:left w:val="nil"/>
              <w:bottom w:val="nil"/>
              <w:right w:val="nil"/>
            </w:tcBorders>
            <w:shd w:val="clear" w:color="auto" w:fill="auto"/>
            <w:noWrap/>
            <w:vAlign w:val="center"/>
          </w:tcPr>
          <w:p>
            <w:pPr>
              <w:rPr>
                <w:rFonts w:ascii="Times New Roman" w:hAnsi="Times New Roman" w:eastAsia="宋体" w:cs="Times New Roman"/>
                <w:color w:val="000000"/>
                <w:sz w:val="22"/>
                <w:szCs w:val="22"/>
              </w:rPr>
            </w:pPr>
          </w:p>
        </w:tc>
        <w:tc>
          <w:tcPr>
            <w:tcW w:w="249" w:type="pct"/>
            <w:tcBorders>
              <w:top w:val="nil"/>
              <w:left w:val="nil"/>
              <w:bottom w:val="nil"/>
              <w:right w:val="nil"/>
            </w:tcBorders>
            <w:shd w:val="clear" w:color="auto" w:fill="auto"/>
            <w:noWrap/>
            <w:vAlign w:val="center"/>
          </w:tcPr>
          <w:p>
            <w:pPr>
              <w:rPr>
                <w:rFonts w:ascii="Times New Roman" w:hAnsi="Times New Roman" w:eastAsia="宋体" w:cs="Times New Roman"/>
                <w:color w:val="000000"/>
                <w:sz w:val="22"/>
                <w:szCs w:val="22"/>
              </w:rPr>
            </w:pPr>
          </w:p>
        </w:tc>
        <w:tc>
          <w:tcPr>
            <w:tcW w:w="214" w:type="pct"/>
            <w:tcBorders>
              <w:top w:val="nil"/>
              <w:left w:val="nil"/>
              <w:bottom w:val="nil"/>
              <w:right w:val="nil"/>
            </w:tcBorders>
            <w:shd w:val="clear" w:color="auto" w:fill="auto"/>
            <w:noWrap/>
            <w:vAlign w:val="center"/>
          </w:tcPr>
          <w:p>
            <w:pPr>
              <w:rPr>
                <w:rFonts w:ascii="Times New Roman" w:hAnsi="Times New Roman" w:eastAsia="宋体" w:cs="Times New Roman"/>
                <w:color w:val="000000"/>
                <w:sz w:val="22"/>
                <w:szCs w:val="22"/>
              </w:rPr>
            </w:pPr>
          </w:p>
        </w:tc>
        <w:tc>
          <w:tcPr>
            <w:tcW w:w="906" w:type="pct"/>
            <w:tcBorders>
              <w:top w:val="nil"/>
              <w:left w:val="nil"/>
              <w:bottom w:val="nil"/>
              <w:right w:val="nil"/>
            </w:tcBorders>
            <w:shd w:val="clear" w:color="auto" w:fill="auto"/>
            <w:noWrap/>
            <w:vAlign w:val="center"/>
          </w:tcPr>
          <w:p>
            <w:pPr>
              <w:rPr>
                <w:rFonts w:ascii="Times New Roman" w:hAnsi="Times New Roman" w:eastAsia="宋体" w:cs="Times New Roman"/>
                <w:color w:val="000000"/>
                <w:sz w:val="22"/>
                <w:szCs w:val="22"/>
              </w:rPr>
            </w:pPr>
          </w:p>
        </w:tc>
        <w:tc>
          <w:tcPr>
            <w:tcW w:w="221" w:type="pct"/>
            <w:tcBorders>
              <w:top w:val="nil"/>
              <w:left w:val="nil"/>
              <w:bottom w:val="nil"/>
              <w:right w:val="nil"/>
            </w:tcBorders>
            <w:shd w:val="clear" w:color="auto" w:fill="auto"/>
            <w:noWrap/>
            <w:vAlign w:val="center"/>
          </w:tcPr>
          <w:p>
            <w:pPr>
              <w:rPr>
                <w:rFonts w:ascii="Times New Roman" w:hAnsi="Times New Roman" w:eastAsia="宋体" w:cs="Times New Roman"/>
                <w:color w:val="000000"/>
                <w:sz w:val="22"/>
                <w:szCs w:val="22"/>
              </w:rPr>
            </w:pPr>
          </w:p>
        </w:tc>
        <w:tc>
          <w:tcPr>
            <w:tcW w:w="221" w:type="pct"/>
            <w:tcBorders>
              <w:top w:val="nil"/>
              <w:left w:val="nil"/>
              <w:bottom w:val="nil"/>
              <w:right w:val="nil"/>
            </w:tcBorders>
            <w:shd w:val="clear" w:color="auto" w:fill="auto"/>
            <w:noWrap/>
            <w:vAlign w:val="center"/>
          </w:tcPr>
          <w:p>
            <w:pPr>
              <w:rPr>
                <w:rFonts w:ascii="Times New Roman" w:hAnsi="Times New Roman" w:eastAsia="宋体" w:cs="Times New Roman"/>
                <w:color w:val="000000"/>
                <w:sz w:val="22"/>
                <w:szCs w:val="22"/>
              </w:rPr>
            </w:pPr>
          </w:p>
        </w:tc>
        <w:tc>
          <w:tcPr>
            <w:tcW w:w="221" w:type="pct"/>
            <w:tcBorders>
              <w:top w:val="nil"/>
              <w:left w:val="nil"/>
              <w:bottom w:val="nil"/>
              <w:right w:val="nil"/>
            </w:tcBorders>
            <w:shd w:val="clear" w:color="auto" w:fill="auto"/>
            <w:noWrap/>
            <w:vAlign w:val="center"/>
          </w:tcPr>
          <w:p>
            <w:pPr>
              <w:rPr>
                <w:rFonts w:ascii="Times New Roman" w:hAnsi="Times New Roman" w:eastAsia="宋体" w:cs="Times New Roman"/>
                <w:color w:val="000000"/>
                <w:sz w:val="22"/>
                <w:szCs w:val="22"/>
              </w:rPr>
            </w:pPr>
          </w:p>
        </w:tc>
        <w:tc>
          <w:tcPr>
            <w:tcW w:w="221" w:type="pct"/>
            <w:tcBorders>
              <w:top w:val="nil"/>
              <w:left w:val="nil"/>
              <w:bottom w:val="nil"/>
              <w:right w:val="nil"/>
            </w:tcBorders>
            <w:shd w:val="clear" w:color="auto" w:fill="auto"/>
            <w:noWrap/>
            <w:vAlign w:val="center"/>
          </w:tcPr>
          <w:p>
            <w:pPr>
              <w:rPr>
                <w:rFonts w:ascii="Times New Roman" w:hAnsi="Times New Roman" w:eastAsia="宋体" w:cs="Times New Roman"/>
                <w:color w:val="000000"/>
                <w:sz w:val="22"/>
                <w:szCs w:val="22"/>
              </w:rPr>
            </w:pPr>
          </w:p>
        </w:tc>
        <w:tc>
          <w:tcPr>
            <w:tcW w:w="527" w:type="pct"/>
            <w:tcBorders>
              <w:top w:val="nil"/>
              <w:left w:val="nil"/>
              <w:bottom w:val="nil"/>
              <w:right w:val="nil"/>
            </w:tcBorders>
            <w:shd w:val="clear" w:color="auto" w:fill="auto"/>
            <w:noWrap/>
            <w:vAlign w:val="center"/>
          </w:tcPr>
          <w:p>
            <w:pPr>
              <w:rPr>
                <w:rFonts w:ascii="Times New Roman" w:hAnsi="Times New Roman" w:eastAsia="宋体" w:cs="Times New Roman"/>
                <w:color w:val="000000"/>
                <w:sz w:val="22"/>
                <w:szCs w:val="22"/>
              </w:rPr>
            </w:pPr>
          </w:p>
        </w:tc>
        <w:tc>
          <w:tcPr>
            <w:tcW w:w="221" w:type="pct"/>
            <w:tcBorders>
              <w:top w:val="nil"/>
              <w:left w:val="nil"/>
              <w:bottom w:val="nil"/>
              <w:right w:val="nil"/>
            </w:tcBorders>
            <w:shd w:val="clear" w:color="auto" w:fill="auto"/>
            <w:noWrap/>
            <w:vAlign w:val="center"/>
          </w:tcPr>
          <w:p>
            <w:pP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499" w:hRule="atLeast"/>
        </w:trPr>
        <w:tc>
          <w:tcPr>
            <w:tcW w:w="5000" w:type="pct"/>
            <w:gridSpan w:val="16"/>
            <w:tcBorders>
              <w:top w:val="nil"/>
              <w:left w:val="nil"/>
              <w:bottom w:val="nil"/>
              <w:right w:val="nil"/>
            </w:tcBorders>
            <w:shd w:val="clear" w:color="auto" w:fill="auto"/>
            <w:noWrap/>
            <w:vAlign w:val="center"/>
          </w:tcPr>
          <w:p>
            <w:pPr>
              <w:widowControl/>
              <w:jc w:val="center"/>
              <w:textAlignment w:val="center"/>
              <w:rPr>
                <w:rFonts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kern w:val="0"/>
                <w:sz w:val="32"/>
                <w:szCs w:val="32"/>
                <w:lang w:bidi="ar"/>
              </w:rPr>
              <w:t>普惠金融发展专项资金申报（审核）汇总表</w:t>
            </w:r>
          </w:p>
        </w:tc>
      </w:tr>
      <w:tr>
        <w:tblPrEx>
          <w:tblCellMar>
            <w:top w:w="0" w:type="dxa"/>
            <w:left w:w="108" w:type="dxa"/>
            <w:bottom w:w="0" w:type="dxa"/>
            <w:right w:w="108" w:type="dxa"/>
          </w:tblCellMar>
        </w:tblPrEx>
        <w:trPr>
          <w:trHeight w:val="540" w:hRule="atLeast"/>
        </w:trPr>
        <w:tc>
          <w:tcPr>
            <w:tcW w:w="296" w:type="pct"/>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填报（审核）单位：</w:t>
            </w:r>
            <w:r>
              <w:rPr>
                <w:rStyle w:val="15"/>
                <w:rFonts w:eastAsia="宋体"/>
                <w:lang w:bidi="ar"/>
              </w:rPr>
              <w:t xml:space="preserve">         </w:t>
            </w:r>
          </w:p>
        </w:tc>
        <w:tc>
          <w:tcPr>
            <w:tcW w:w="292" w:type="pct"/>
            <w:tcBorders>
              <w:top w:val="nil"/>
              <w:left w:val="nil"/>
              <w:bottom w:val="nil"/>
              <w:right w:val="nil"/>
            </w:tcBorders>
            <w:shd w:val="clear" w:color="auto" w:fill="auto"/>
            <w:vAlign w:val="center"/>
          </w:tcPr>
          <w:p>
            <w:pPr>
              <w:rPr>
                <w:rFonts w:ascii="宋体" w:hAnsi="宋体" w:eastAsia="宋体" w:cs="宋体"/>
                <w:color w:val="000000"/>
                <w:sz w:val="22"/>
                <w:szCs w:val="22"/>
              </w:rPr>
            </w:pPr>
          </w:p>
        </w:tc>
        <w:tc>
          <w:tcPr>
            <w:tcW w:w="279" w:type="pct"/>
            <w:tcBorders>
              <w:top w:val="nil"/>
              <w:left w:val="nil"/>
              <w:bottom w:val="nil"/>
              <w:right w:val="nil"/>
            </w:tcBorders>
            <w:shd w:val="clear" w:color="auto" w:fill="auto"/>
            <w:vAlign w:val="center"/>
          </w:tcPr>
          <w:p>
            <w:pPr>
              <w:rPr>
                <w:rFonts w:ascii="宋体" w:hAnsi="宋体" w:eastAsia="宋体" w:cs="宋体"/>
                <w:color w:val="000000"/>
                <w:sz w:val="22"/>
                <w:szCs w:val="22"/>
              </w:rPr>
            </w:pPr>
          </w:p>
        </w:tc>
        <w:tc>
          <w:tcPr>
            <w:tcW w:w="225" w:type="pct"/>
            <w:tcBorders>
              <w:top w:val="nil"/>
              <w:left w:val="nil"/>
              <w:bottom w:val="nil"/>
              <w:right w:val="nil"/>
            </w:tcBorders>
            <w:shd w:val="clear" w:color="auto" w:fill="auto"/>
            <w:vAlign w:val="center"/>
          </w:tcPr>
          <w:p>
            <w:pPr>
              <w:rPr>
                <w:rFonts w:ascii="宋体" w:hAnsi="宋体" w:eastAsia="宋体" w:cs="宋体"/>
                <w:color w:val="000000"/>
                <w:sz w:val="22"/>
                <w:szCs w:val="22"/>
              </w:rPr>
            </w:pPr>
          </w:p>
        </w:tc>
        <w:tc>
          <w:tcPr>
            <w:tcW w:w="325" w:type="pct"/>
            <w:tcBorders>
              <w:top w:val="nil"/>
              <w:left w:val="nil"/>
              <w:bottom w:val="nil"/>
              <w:right w:val="nil"/>
            </w:tcBorders>
            <w:shd w:val="clear" w:color="auto" w:fill="auto"/>
            <w:vAlign w:val="center"/>
          </w:tcPr>
          <w:p>
            <w:pPr>
              <w:rPr>
                <w:rFonts w:ascii="宋体" w:hAnsi="宋体" w:eastAsia="宋体" w:cs="宋体"/>
                <w:color w:val="000000"/>
                <w:sz w:val="22"/>
                <w:szCs w:val="22"/>
              </w:rPr>
            </w:pPr>
          </w:p>
        </w:tc>
        <w:tc>
          <w:tcPr>
            <w:tcW w:w="379" w:type="pct"/>
            <w:tcBorders>
              <w:top w:val="nil"/>
              <w:left w:val="nil"/>
              <w:bottom w:val="nil"/>
              <w:right w:val="nil"/>
            </w:tcBorders>
            <w:shd w:val="clear" w:color="auto" w:fill="auto"/>
            <w:vAlign w:val="center"/>
          </w:tcPr>
          <w:p>
            <w:pPr>
              <w:rPr>
                <w:rFonts w:ascii="宋体" w:hAnsi="宋体" w:eastAsia="宋体" w:cs="宋体"/>
                <w:color w:val="000000"/>
                <w:sz w:val="22"/>
                <w:szCs w:val="22"/>
              </w:rPr>
            </w:pPr>
          </w:p>
        </w:tc>
        <w:tc>
          <w:tcPr>
            <w:tcW w:w="195" w:type="pct"/>
            <w:tcBorders>
              <w:top w:val="nil"/>
              <w:left w:val="nil"/>
              <w:bottom w:val="nil"/>
              <w:right w:val="nil"/>
            </w:tcBorders>
            <w:shd w:val="clear" w:color="auto" w:fill="auto"/>
            <w:noWrap/>
            <w:vAlign w:val="center"/>
          </w:tcPr>
          <w:p>
            <w:pPr>
              <w:rPr>
                <w:rFonts w:ascii="Times New Roman" w:hAnsi="Times New Roman" w:eastAsia="宋体" w:cs="Times New Roman"/>
                <w:color w:val="000000"/>
                <w:sz w:val="22"/>
                <w:szCs w:val="22"/>
              </w:rPr>
            </w:pPr>
          </w:p>
        </w:tc>
        <w:tc>
          <w:tcPr>
            <w:tcW w:w="249" w:type="pct"/>
            <w:tcBorders>
              <w:top w:val="nil"/>
              <w:left w:val="nil"/>
              <w:bottom w:val="nil"/>
              <w:right w:val="nil"/>
            </w:tcBorders>
            <w:shd w:val="clear" w:color="auto" w:fill="auto"/>
            <w:noWrap/>
            <w:vAlign w:val="center"/>
          </w:tcPr>
          <w:p>
            <w:pPr>
              <w:rPr>
                <w:rFonts w:ascii="Times New Roman" w:hAnsi="Times New Roman" w:eastAsia="宋体" w:cs="Times New Roman"/>
                <w:color w:val="000000"/>
                <w:sz w:val="22"/>
                <w:szCs w:val="22"/>
              </w:rPr>
            </w:pPr>
          </w:p>
        </w:tc>
        <w:tc>
          <w:tcPr>
            <w:tcW w:w="214" w:type="pct"/>
            <w:tcBorders>
              <w:top w:val="nil"/>
              <w:left w:val="nil"/>
              <w:bottom w:val="nil"/>
              <w:right w:val="nil"/>
            </w:tcBorders>
            <w:shd w:val="clear" w:color="auto" w:fill="auto"/>
            <w:noWrap/>
            <w:vAlign w:val="center"/>
          </w:tcPr>
          <w:p>
            <w:pPr>
              <w:rPr>
                <w:rFonts w:ascii="Times New Roman" w:hAnsi="Times New Roman" w:eastAsia="宋体" w:cs="Times New Roman"/>
                <w:color w:val="000000"/>
                <w:sz w:val="22"/>
                <w:szCs w:val="22"/>
              </w:rPr>
            </w:pPr>
          </w:p>
        </w:tc>
        <w:tc>
          <w:tcPr>
            <w:tcW w:w="906" w:type="pct"/>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单位：万元、家、</w:t>
            </w:r>
            <w:r>
              <w:rPr>
                <w:rStyle w:val="16"/>
                <w:lang w:bidi="ar"/>
              </w:rPr>
              <w:t>%</w:t>
            </w:r>
          </w:p>
        </w:tc>
        <w:tc>
          <w:tcPr>
            <w:tcW w:w="221" w:type="pct"/>
            <w:tcBorders>
              <w:top w:val="nil"/>
              <w:left w:val="nil"/>
              <w:bottom w:val="nil"/>
              <w:right w:val="nil"/>
            </w:tcBorders>
            <w:shd w:val="clear" w:color="auto" w:fill="auto"/>
            <w:noWrap/>
            <w:vAlign w:val="center"/>
          </w:tcPr>
          <w:p>
            <w:pPr>
              <w:rPr>
                <w:rFonts w:ascii="Times New Roman" w:hAnsi="Times New Roman" w:eastAsia="宋体" w:cs="Times New Roman"/>
                <w:color w:val="000000"/>
                <w:sz w:val="22"/>
                <w:szCs w:val="22"/>
              </w:rPr>
            </w:pPr>
          </w:p>
        </w:tc>
        <w:tc>
          <w:tcPr>
            <w:tcW w:w="221" w:type="pct"/>
            <w:tcBorders>
              <w:top w:val="nil"/>
              <w:left w:val="nil"/>
              <w:bottom w:val="nil"/>
              <w:right w:val="nil"/>
            </w:tcBorders>
            <w:shd w:val="clear" w:color="auto" w:fill="auto"/>
            <w:noWrap/>
            <w:vAlign w:val="center"/>
          </w:tcPr>
          <w:p>
            <w:pPr>
              <w:rPr>
                <w:rFonts w:ascii="Times New Roman" w:hAnsi="Times New Roman" w:eastAsia="宋体" w:cs="Times New Roman"/>
                <w:color w:val="000000"/>
                <w:sz w:val="22"/>
                <w:szCs w:val="22"/>
              </w:rPr>
            </w:pPr>
          </w:p>
        </w:tc>
        <w:tc>
          <w:tcPr>
            <w:tcW w:w="221" w:type="pct"/>
            <w:tcBorders>
              <w:top w:val="nil"/>
              <w:left w:val="nil"/>
              <w:bottom w:val="nil"/>
              <w:right w:val="nil"/>
            </w:tcBorders>
            <w:shd w:val="clear" w:color="auto" w:fill="auto"/>
            <w:noWrap/>
            <w:vAlign w:val="center"/>
          </w:tcPr>
          <w:p>
            <w:pPr>
              <w:rPr>
                <w:rFonts w:ascii="Times New Roman" w:hAnsi="Times New Roman" w:eastAsia="宋体" w:cs="Times New Roman"/>
                <w:color w:val="000000"/>
                <w:sz w:val="22"/>
                <w:szCs w:val="22"/>
              </w:rPr>
            </w:pPr>
          </w:p>
        </w:tc>
        <w:tc>
          <w:tcPr>
            <w:tcW w:w="221" w:type="pct"/>
            <w:tcBorders>
              <w:top w:val="nil"/>
              <w:left w:val="nil"/>
              <w:bottom w:val="nil"/>
              <w:right w:val="nil"/>
            </w:tcBorders>
            <w:shd w:val="clear" w:color="auto" w:fill="auto"/>
            <w:noWrap/>
            <w:vAlign w:val="center"/>
          </w:tcPr>
          <w:p>
            <w:pPr>
              <w:rPr>
                <w:rFonts w:ascii="Times New Roman" w:hAnsi="Times New Roman" w:eastAsia="宋体" w:cs="Times New Roman"/>
                <w:color w:val="000000"/>
                <w:sz w:val="22"/>
                <w:szCs w:val="22"/>
              </w:rPr>
            </w:pPr>
          </w:p>
        </w:tc>
        <w:tc>
          <w:tcPr>
            <w:tcW w:w="527" w:type="pct"/>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时间：</w:t>
            </w:r>
            <w:r>
              <w:rPr>
                <w:rStyle w:val="16"/>
                <w:lang w:bidi="ar"/>
              </w:rPr>
              <w:t xml:space="preserve">     </w:t>
            </w:r>
            <w:r>
              <w:rPr>
                <w:rStyle w:val="17"/>
                <w:rFonts w:hint="default"/>
                <w:lang w:bidi="ar"/>
              </w:rPr>
              <w:t>年</w:t>
            </w:r>
            <w:r>
              <w:rPr>
                <w:rStyle w:val="16"/>
                <w:lang w:bidi="ar"/>
              </w:rPr>
              <w:t xml:space="preserve">   </w:t>
            </w:r>
            <w:r>
              <w:rPr>
                <w:rStyle w:val="17"/>
                <w:rFonts w:hint="default"/>
                <w:lang w:bidi="ar"/>
              </w:rPr>
              <w:t>月</w:t>
            </w:r>
            <w:r>
              <w:rPr>
                <w:rStyle w:val="16"/>
                <w:lang w:bidi="ar"/>
              </w:rPr>
              <w:t xml:space="preserve">    </w:t>
            </w:r>
            <w:r>
              <w:rPr>
                <w:rStyle w:val="17"/>
                <w:rFonts w:hint="default"/>
                <w:lang w:bidi="ar"/>
              </w:rPr>
              <w:t>日</w:t>
            </w:r>
          </w:p>
        </w:tc>
        <w:tc>
          <w:tcPr>
            <w:tcW w:w="221" w:type="pct"/>
            <w:tcBorders>
              <w:top w:val="nil"/>
              <w:left w:val="nil"/>
              <w:bottom w:val="nil"/>
              <w:right w:val="nil"/>
            </w:tcBorders>
            <w:shd w:val="clear" w:color="auto" w:fill="auto"/>
            <w:noWrap/>
            <w:vAlign w:val="center"/>
          </w:tcPr>
          <w:p>
            <w:pP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540" w:hRule="atLeast"/>
        </w:trPr>
        <w:tc>
          <w:tcPr>
            <w:tcW w:w="5000" w:type="pct"/>
            <w:gridSpan w:val="16"/>
            <w:tcBorders>
              <w:top w:val="nil"/>
              <w:left w:val="single" w:color="000000" w:sz="4" w:space="0"/>
              <w:bottom w:val="nil"/>
              <w:right w:val="nil"/>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一、创业担保贷款奖补</w:t>
            </w:r>
          </w:p>
        </w:tc>
      </w:tr>
      <w:tr>
        <w:tblPrEx>
          <w:tblCellMar>
            <w:top w:w="0" w:type="dxa"/>
            <w:left w:w="108" w:type="dxa"/>
            <w:bottom w:w="0" w:type="dxa"/>
            <w:right w:w="108" w:type="dxa"/>
          </w:tblCellMar>
        </w:tblPrEx>
        <w:trPr>
          <w:trHeight w:val="619" w:hRule="atLeast"/>
        </w:trPr>
        <w:tc>
          <w:tcPr>
            <w:tcW w:w="5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____</w:t>
            </w:r>
            <w:r>
              <w:rPr>
                <w:rStyle w:val="18"/>
                <w:rFonts w:hint="default"/>
                <w:lang w:bidi="ar"/>
              </w:rPr>
              <w:t>年创业担保贷款发放额</w:t>
            </w:r>
          </w:p>
        </w:tc>
        <w:tc>
          <w:tcPr>
            <w:tcW w:w="5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____</w:t>
            </w:r>
            <w:r>
              <w:rPr>
                <w:rStyle w:val="18"/>
                <w:rFonts w:hint="default"/>
                <w:lang w:bidi="ar"/>
              </w:rPr>
              <w:t>年创业担保贷款月均余额</w:t>
            </w:r>
          </w:p>
        </w:tc>
        <w:tc>
          <w:tcPr>
            <w:tcW w:w="7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____</w:t>
            </w:r>
            <w:r>
              <w:rPr>
                <w:rStyle w:val="18"/>
                <w:rFonts w:hint="default"/>
                <w:lang w:bidi="ar"/>
              </w:rPr>
              <w:t>年创业担保贷款年末余额</w:t>
            </w:r>
          </w:p>
        </w:tc>
        <w:tc>
          <w:tcPr>
            <w:tcW w:w="1567"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u w:val="single"/>
              </w:rPr>
            </w:pPr>
            <w:r>
              <w:rPr>
                <w:rFonts w:hint="eastAsia" w:ascii="宋体" w:hAnsi="宋体" w:eastAsia="宋体" w:cs="宋体"/>
                <w:color w:val="000000"/>
                <w:kern w:val="0"/>
                <w:sz w:val="24"/>
                <w:u w:val="single"/>
                <w:lang w:bidi="ar"/>
              </w:rPr>
              <w:t xml:space="preserve">    </w:t>
            </w:r>
            <w:r>
              <w:rPr>
                <w:rStyle w:val="19"/>
                <w:rFonts w:hint="default"/>
                <w:u w:val="single"/>
                <w:lang w:bidi="ar"/>
              </w:rPr>
              <w:t>年创业担保贷款贴息资金需求</w:t>
            </w:r>
          </w:p>
        </w:tc>
        <w:tc>
          <w:tcPr>
            <w:tcW w:w="66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上年</w:t>
            </w:r>
            <w:r>
              <w:rPr>
                <w:rStyle w:val="19"/>
                <w:rFonts w:hint="default"/>
                <w:lang w:bidi="ar"/>
              </w:rPr>
              <w:t>本项下实际使用贴息资金</w:t>
            </w:r>
          </w:p>
        </w:tc>
        <w:tc>
          <w:tcPr>
            <w:tcW w:w="96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上年末</w:t>
            </w:r>
            <w:r>
              <w:rPr>
                <w:rStyle w:val="19"/>
                <w:rFonts w:hint="default"/>
                <w:lang w:bidi="ar"/>
              </w:rPr>
              <w:t>本项下结余财政专项资金</w:t>
            </w:r>
          </w:p>
        </w:tc>
      </w:tr>
      <w:tr>
        <w:tblPrEx>
          <w:tblCellMar>
            <w:top w:w="0" w:type="dxa"/>
            <w:left w:w="108" w:type="dxa"/>
            <w:bottom w:w="0" w:type="dxa"/>
            <w:right w:w="108" w:type="dxa"/>
          </w:tblCellMar>
        </w:tblPrEx>
        <w:trPr>
          <w:trHeight w:val="762"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szCs w:val="22"/>
              </w:rPr>
            </w:pPr>
            <w:r>
              <w:rPr>
                <w:rStyle w:val="18"/>
                <w:rFonts w:hint="default"/>
                <w:lang w:bidi="ar"/>
              </w:rPr>
              <w:t>符合中央财政奖补标准的贷款</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szCs w:val="22"/>
              </w:rPr>
            </w:pPr>
            <w:r>
              <w:rPr>
                <w:rStyle w:val="18"/>
                <w:rFonts w:hint="default"/>
                <w:lang w:bidi="ar"/>
              </w:rPr>
              <w:t>不符合中央财政奖补标准的贷款</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szCs w:val="22"/>
              </w:rPr>
            </w:pPr>
            <w:r>
              <w:rPr>
                <w:rStyle w:val="18"/>
                <w:rFonts w:hint="default"/>
                <w:lang w:bidi="ar"/>
              </w:rPr>
              <w:t>符合中央财政奖补标准的贷款</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szCs w:val="22"/>
              </w:rPr>
            </w:pPr>
            <w:r>
              <w:rPr>
                <w:rStyle w:val="18"/>
                <w:rFonts w:hint="default"/>
                <w:lang w:bidi="ar"/>
              </w:rPr>
              <w:t>不符合中央财政奖补标准的贷款</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szCs w:val="22"/>
              </w:rPr>
            </w:pPr>
            <w:r>
              <w:rPr>
                <w:rStyle w:val="18"/>
                <w:rFonts w:hint="default"/>
                <w:lang w:bidi="ar"/>
              </w:rPr>
              <w:t>符合中央财政奖补标准的贷款</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szCs w:val="22"/>
              </w:rPr>
            </w:pPr>
            <w:r>
              <w:rPr>
                <w:rStyle w:val="18"/>
                <w:rFonts w:hint="default"/>
                <w:lang w:bidi="ar"/>
              </w:rPr>
              <w:t>不符合中央财政奖补标准的贷款</w:t>
            </w: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小计</w:t>
            </w:r>
          </w:p>
        </w:tc>
        <w:tc>
          <w:tcPr>
            <w:tcW w:w="2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中央贴息资金</w:t>
            </w:r>
          </w:p>
        </w:tc>
        <w:tc>
          <w:tcPr>
            <w:tcW w:w="112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区县贴息资金</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（不符合中央政策的贷款）</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小计</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贴息资金</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小计</w:t>
            </w:r>
          </w:p>
        </w:tc>
        <w:tc>
          <w:tcPr>
            <w:tcW w:w="5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中央资金</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市级资金</w:t>
            </w:r>
          </w:p>
        </w:tc>
      </w:tr>
      <w:tr>
        <w:tblPrEx>
          <w:tblCellMar>
            <w:top w:w="0" w:type="dxa"/>
            <w:left w:w="108" w:type="dxa"/>
            <w:bottom w:w="0" w:type="dxa"/>
            <w:right w:w="108" w:type="dxa"/>
          </w:tblCellMar>
        </w:tblPrEx>
        <w:trPr>
          <w:trHeight w:val="735"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4"/>
              </w:rPr>
            </w:pPr>
          </w:p>
        </w:tc>
        <w:tc>
          <w:tcPr>
            <w:tcW w:w="2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4"/>
              </w:rPr>
            </w:pPr>
          </w:p>
        </w:tc>
        <w:tc>
          <w:tcPr>
            <w:tcW w:w="112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4"/>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5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00" w:hRule="atLeast"/>
        </w:trPr>
        <w:tc>
          <w:tcPr>
            <w:tcW w:w="5000"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二、农村金融机构定向费用奖补</w:t>
            </w:r>
          </w:p>
        </w:tc>
      </w:tr>
      <w:tr>
        <w:tblPrEx>
          <w:tblCellMar>
            <w:top w:w="0" w:type="dxa"/>
            <w:left w:w="108" w:type="dxa"/>
            <w:bottom w:w="0" w:type="dxa"/>
            <w:right w:w="108" w:type="dxa"/>
          </w:tblCellMar>
        </w:tblPrEx>
        <w:trPr>
          <w:trHeight w:val="600" w:hRule="atLeast"/>
        </w:trPr>
        <w:tc>
          <w:tcPr>
            <w:tcW w:w="109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____</w:t>
            </w:r>
            <w:r>
              <w:rPr>
                <w:rStyle w:val="18"/>
                <w:rFonts w:hint="default"/>
                <w:lang w:bidi="ar"/>
              </w:rPr>
              <w:t>年农户小额信用贷款发放额</w:t>
            </w:r>
          </w:p>
        </w:tc>
        <w:tc>
          <w:tcPr>
            <w:tcW w:w="7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____</w:t>
            </w:r>
            <w:r>
              <w:rPr>
                <w:rStyle w:val="18"/>
                <w:rFonts w:hint="default"/>
                <w:lang w:bidi="ar"/>
              </w:rPr>
              <w:t>年农户小额信用贷款月均余额</w:t>
            </w:r>
          </w:p>
        </w:tc>
        <w:tc>
          <w:tcPr>
            <w:tcW w:w="445"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可予补贴的</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机构家数</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可予补贴的</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贷款余额</w:t>
            </w:r>
          </w:p>
        </w:tc>
        <w:tc>
          <w:tcPr>
            <w:tcW w:w="1127"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u w:val="single"/>
              </w:rPr>
            </w:pPr>
            <w:r>
              <w:rPr>
                <w:rFonts w:hint="eastAsia" w:ascii="宋体" w:hAnsi="宋体" w:eastAsia="宋体" w:cs="宋体"/>
                <w:color w:val="000000"/>
                <w:kern w:val="0"/>
                <w:sz w:val="24"/>
                <w:u w:val="single"/>
                <w:lang w:bidi="ar"/>
              </w:rPr>
              <w:t xml:space="preserve">     </w:t>
            </w:r>
            <w:r>
              <w:rPr>
                <w:rStyle w:val="20"/>
                <w:rFonts w:hint="default"/>
                <w:u w:val="single"/>
                <w:lang w:bidi="ar"/>
              </w:rPr>
              <w:t>年补贴资金需求</w:t>
            </w:r>
          </w:p>
        </w:tc>
        <w:tc>
          <w:tcPr>
            <w:tcW w:w="664"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上年实际使用补贴资金</w:t>
            </w:r>
          </w:p>
        </w:tc>
        <w:tc>
          <w:tcPr>
            <w:tcW w:w="748"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上年末结余资金</w:t>
            </w:r>
          </w:p>
        </w:tc>
      </w:tr>
      <w:tr>
        <w:tblPrEx>
          <w:tblCellMar>
            <w:top w:w="0" w:type="dxa"/>
            <w:left w:w="108" w:type="dxa"/>
            <w:bottom w:w="0" w:type="dxa"/>
            <w:right w:w="108" w:type="dxa"/>
          </w:tblCellMar>
        </w:tblPrEx>
        <w:trPr>
          <w:trHeight w:val="619" w:hRule="atLeast"/>
        </w:trPr>
        <w:tc>
          <w:tcPr>
            <w:tcW w:w="5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发放金额</w:t>
            </w:r>
          </w:p>
        </w:tc>
        <w:tc>
          <w:tcPr>
            <w:tcW w:w="5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同比变动（</w:t>
            </w:r>
            <w:r>
              <w:rPr>
                <w:rStyle w:val="15"/>
                <w:rFonts w:eastAsia="宋体"/>
                <w:lang w:bidi="ar"/>
              </w:rPr>
              <w:t>%</w:t>
            </w:r>
            <w:r>
              <w:rPr>
                <w:rStyle w:val="18"/>
                <w:rFonts w:hint="default"/>
                <w:lang w:bidi="ar"/>
              </w:rPr>
              <w:t>）</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月均余额</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同比变动（</w:t>
            </w:r>
            <w:r>
              <w:rPr>
                <w:rStyle w:val="15"/>
                <w:rFonts w:eastAsia="宋体"/>
                <w:lang w:bidi="ar"/>
              </w:rPr>
              <w:t>%</w:t>
            </w:r>
            <w:r>
              <w:rPr>
                <w:rStyle w:val="18"/>
                <w:rFonts w:hint="default"/>
                <w:lang w:bidi="ar"/>
              </w:rPr>
              <w:t>）</w:t>
            </w:r>
          </w:p>
        </w:tc>
        <w:tc>
          <w:tcPr>
            <w:tcW w:w="44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127"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u w:val="single"/>
              </w:rPr>
            </w:pPr>
          </w:p>
        </w:tc>
        <w:tc>
          <w:tcPr>
            <w:tcW w:w="664"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748"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750" w:hRule="atLeast"/>
        </w:trPr>
        <w:tc>
          <w:tcPr>
            <w:tcW w:w="5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2"/>
                <w:szCs w:val="22"/>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2"/>
                <w:szCs w:val="22"/>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44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4"/>
              </w:rPr>
            </w:pPr>
          </w:p>
        </w:tc>
        <w:tc>
          <w:tcPr>
            <w:tcW w:w="9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4"/>
              </w:rPr>
            </w:pP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4"/>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4"/>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74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4"/>
              </w:rPr>
            </w:pPr>
          </w:p>
        </w:tc>
      </w:tr>
    </w:tbl>
    <w:p>
      <w:pPr>
        <w:spacing w:line="578" w:lineRule="exact"/>
        <w:rPr>
          <w:rFonts w:ascii="方正仿宋_GBK" w:hAnsi="方正仿宋_GBK" w:eastAsia="方正仿宋_GBK" w:cs="方正仿宋_GBK"/>
          <w:sz w:val="32"/>
          <w:szCs w:val="32"/>
        </w:rPr>
        <w:sectPr>
          <w:pgSz w:w="16838" w:h="11906" w:orient="landscape"/>
          <w:pgMar w:top="1587" w:right="1962" w:bottom="1474" w:left="1962" w:header="680" w:footer="1077" w:gutter="0"/>
          <w:pgNumType w:fmt="numberInDash"/>
          <w:cols w:space="0" w:num="1"/>
          <w:docGrid w:type="lines" w:linePitch="312" w:charSpace="0"/>
        </w:sectPr>
      </w:pPr>
    </w:p>
    <w:tbl>
      <w:tblPr>
        <w:tblStyle w:val="8"/>
        <w:tblW w:w="0" w:type="auto"/>
        <w:tblInd w:w="93" w:type="dxa"/>
        <w:tblLayout w:type="autofit"/>
        <w:tblCellMar>
          <w:top w:w="0" w:type="dxa"/>
          <w:left w:w="108" w:type="dxa"/>
          <w:bottom w:w="0" w:type="dxa"/>
          <w:right w:w="108" w:type="dxa"/>
        </w:tblCellMar>
      </w:tblPr>
      <w:tblGrid>
        <w:gridCol w:w="3809"/>
        <w:gridCol w:w="849"/>
        <w:gridCol w:w="1231"/>
        <w:gridCol w:w="849"/>
        <w:gridCol w:w="849"/>
        <w:gridCol w:w="849"/>
        <w:gridCol w:w="532"/>
      </w:tblGrid>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widowControl/>
              <w:jc w:val="left"/>
              <w:textAlignment w:val="center"/>
              <w:rPr>
                <w:rFonts w:ascii="黑体" w:hAnsi="宋体" w:eastAsia="黑体" w:cs="黑体"/>
                <w:color w:val="000000"/>
                <w:sz w:val="24"/>
              </w:rPr>
            </w:pPr>
            <w:r>
              <w:rPr>
                <w:rFonts w:hint="eastAsia" w:ascii="黑体" w:hAnsi="宋体" w:eastAsia="黑体" w:cs="黑体"/>
                <w:color w:val="000000"/>
                <w:kern w:val="0"/>
                <w:sz w:val="24"/>
                <w:lang w:bidi="ar"/>
              </w:rPr>
              <w:t>附件</w:t>
            </w:r>
            <w:r>
              <w:rPr>
                <w:rStyle w:val="21"/>
                <w:rFonts w:eastAsia="黑体"/>
                <w:lang w:bidi="ar"/>
              </w:rPr>
              <w:t>1-1</w:t>
            </w:r>
          </w:p>
        </w:tc>
        <w:tc>
          <w:tcPr>
            <w:tcW w:w="0" w:type="auto"/>
            <w:tcBorders>
              <w:top w:val="nil"/>
              <w:left w:val="nil"/>
              <w:bottom w:val="nil"/>
              <w:right w:val="nil"/>
            </w:tcBorders>
            <w:shd w:val="clear" w:color="auto" w:fill="auto"/>
            <w:noWrap/>
            <w:vAlign w:val="center"/>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noWrap/>
            <w:vAlign w:val="center"/>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noWrap/>
            <w:vAlign w:val="center"/>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noWrap/>
            <w:vAlign w:val="center"/>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noWrap/>
            <w:vAlign w:val="center"/>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noWrap/>
            <w:vAlign w:val="center"/>
          </w:tcPr>
          <w:p>
            <w:pP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1103" w:hRule="atLeast"/>
        </w:trPr>
        <w:tc>
          <w:tcPr>
            <w:tcW w:w="0" w:type="auto"/>
            <w:gridSpan w:val="7"/>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color w:val="000000"/>
                <w:sz w:val="32"/>
                <w:szCs w:val="32"/>
              </w:rPr>
            </w:pPr>
            <w:r>
              <w:rPr>
                <w:rFonts w:ascii="Times New Roman" w:hAnsi="Times New Roman" w:eastAsia="宋体" w:cs="Times New Roman"/>
                <w:color w:val="000000"/>
                <w:kern w:val="0"/>
                <w:sz w:val="32"/>
                <w:szCs w:val="32"/>
                <w:lang w:bidi="ar"/>
              </w:rPr>
              <w:t xml:space="preserve">        _____</w:t>
            </w:r>
            <w:r>
              <w:rPr>
                <w:rFonts w:ascii="方正小标宋_GBK" w:hAnsi="方正小标宋_GBK" w:eastAsia="方正小标宋_GBK" w:cs="方正小标宋_GBK"/>
                <w:color w:val="000000"/>
                <w:kern w:val="0"/>
                <w:sz w:val="32"/>
                <w:szCs w:val="32"/>
                <w:lang w:bidi="ar"/>
              </w:rPr>
              <w:t>年</w:t>
            </w:r>
            <w:r>
              <w:rPr>
                <w:rStyle w:val="22"/>
                <w:lang w:bidi="ar"/>
              </w:rPr>
              <w:t xml:space="preserve">          </w:t>
            </w:r>
            <w:r>
              <w:rPr>
                <w:rFonts w:ascii="方正小标宋_GBK" w:hAnsi="方正小标宋_GBK" w:eastAsia="方正小标宋_GBK" w:cs="方正小标宋_GBK"/>
                <w:color w:val="000000"/>
                <w:kern w:val="0"/>
                <w:sz w:val="32"/>
                <w:szCs w:val="32"/>
                <w:lang w:bidi="ar"/>
              </w:rPr>
              <w:t>区（县、自治县）创业担保贷款资金申报详情表</w:t>
            </w:r>
          </w:p>
        </w:tc>
      </w:tr>
      <w:tr>
        <w:tblPrEx>
          <w:tblCellMar>
            <w:top w:w="0" w:type="dxa"/>
            <w:left w:w="108" w:type="dxa"/>
            <w:bottom w:w="0" w:type="dxa"/>
            <w:right w:w="108" w:type="dxa"/>
          </w:tblCellMar>
        </w:tblPrEx>
        <w:trPr>
          <w:trHeight w:val="420" w:hRule="atLeast"/>
        </w:trPr>
        <w:tc>
          <w:tcPr>
            <w:tcW w:w="0" w:type="auto"/>
            <w:gridSpan w:val="7"/>
            <w:tcBorders>
              <w:top w:val="nil"/>
              <w:left w:val="nil"/>
              <w:bottom w:val="single" w:color="000000" w:sz="4" w:space="0"/>
              <w:right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填报单位:                                                                               单位：万元、笔</w:t>
            </w:r>
          </w:p>
        </w:tc>
      </w:tr>
      <w:tr>
        <w:tblPrEx>
          <w:tblCellMar>
            <w:top w:w="0" w:type="dxa"/>
            <w:left w:w="108" w:type="dxa"/>
            <w:bottom w:w="0" w:type="dxa"/>
            <w:right w:w="108" w:type="dxa"/>
          </w:tblCellMar>
        </w:tblPrEx>
        <w:trPr>
          <w:trHeight w:val="9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bdr w:val="single" w:color="000000" w:sz="4" w:space="0"/>
              </w:rPr>
              <w:drawing>
                <wp:anchor distT="0" distB="0" distL="114300" distR="114300" simplePos="0" relativeHeight="251659264" behindDoc="0" locked="0" layoutInCell="1" allowOverlap="1">
                  <wp:simplePos x="0" y="0"/>
                  <wp:positionH relativeFrom="column">
                    <wp:posOffset>7620</wp:posOffset>
                  </wp:positionH>
                  <wp:positionV relativeFrom="paragraph">
                    <wp:posOffset>7620</wp:posOffset>
                  </wp:positionV>
                  <wp:extent cx="2011680" cy="594995"/>
                  <wp:effectExtent l="0" t="0" r="7620" b="14605"/>
                  <wp:wrapNone/>
                  <wp:docPr id="2" name="直接连接符_2"/>
                  <wp:cNvGraphicFramePr/>
                  <a:graphic xmlns:a="http://schemas.openxmlformats.org/drawingml/2006/main">
                    <a:graphicData uri="http://schemas.openxmlformats.org/drawingml/2006/picture">
                      <pic:pic xmlns:pic="http://schemas.openxmlformats.org/drawingml/2006/picture">
                        <pic:nvPicPr>
                          <pic:cNvPr id="2" name="直接连接符_2"/>
                          <pic:cNvPicPr/>
                        </pic:nvPicPr>
                        <pic:blipFill>
                          <a:blip r:embed="rId16"/>
                          <a:stretch>
                            <a:fillRect/>
                          </a:stretch>
                        </pic:blipFill>
                        <pic:spPr>
                          <a:xfrm>
                            <a:off x="0" y="0"/>
                            <a:ext cx="2011680" cy="594995"/>
                          </a:xfrm>
                          <a:prstGeom prst="rect">
                            <a:avLst/>
                          </a:prstGeom>
                          <a:noFill/>
                          <a:ln>
                            <a:noFill/>
                          </a:ln>
                        </pic:spPr>
                      </pic:pic>
                    </a:graphicData>
                  </a:graphic>
                </wp:anchor>
              </w:drawing>
            </w:r>
            <w:r>
              <w:rPr>
                <w:rFonts w:ascii="Times New Roman" w:hAnsi="Times New Roman" w:eastAsia="宋体" w:cs="Times New Roman"/>
                <w:color w:val="000000"/>
                <w:kern w:val="0"/>
                <w:sz w:val="20"/>
                <w:szCs w:val="20"/>
                <w:lang w:bidi="ar"/>
              </w:rPr>
              <w:t xml:space="preserve">                                            </w:t>
            </w:r>
            <w:r>
              <w:rPr>
                <w:rStyle w:val="23"/>
                <w:rFonts w:hint="default"/>
                <w:lang w:bidi="ar"/>
              </w:rPr>
              <w:t>经办银行</w:t>
            </w:r>
            <w:r>
              <w:rPr>
                <w:rStyle w:val="23"/>
                <w:rFonts w:hint="default"/>
                <w:lang w:bidi="ar"/>
              </w:rPr>
              <w:br w:type="textWrapping"/>
            </w:r>
            <w:r>
              <w:rPr>
                <w:rStyle w:val="23"/>
                <w:rFonts w:hint="default"/>
                <w:lang w:bidi="ar"/>
              </w:rPr>
              <w:t>贷款及贴息情况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23"/>
                <w:rFonts w:hint="default"/>
                <w:lang w:bidi="ar"/>
              </w:rPr>
              <w:t>国有商业</w:t>
            </w:r>
            <w:r>
              <w:rPr>
                <w:rStyle w:val="23"/>
                <w:rFonts w:hint="default"/>
                <w:lang w:bidi="ar"/>
              </w:rPr>
              <w:br w:type="textWrapping"/>
            </w:r>
            <w:r>
              <w:rPr>
                <w:rStyle w:val="23"/>
                <w:rFonts w:hint="default"/>
                <w:lang w:bidi="ar"/>
              </w:rPr>
              <w:t>银行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23"/>
                <w:rFonts w:hint="default"/>
                <w:lang w:bidi="ar"/>
              </w:rPr>
              <w:t>股份制商业银行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23"/>
                <w:rFonts w:hint="default"/>
                <w:lang w:bidi="ar"/>
              </w:rPr>
              <w:t>城市商业</w:t>
            </w:r>
            <w:r>
              <w:rPr>
                <w:rStyle w:val="23"/>
                <w:rFonts w:hint="default"/>
                <w:lang w:bidi="ar"/>
              </w:rPr>
              <w:br w:type="textWrapping"/>
            </w:r>
            <w:r>
              <w:rPr>
                <w:rStyle w:val="23"/>
                <w:rFonts w:hint="default"/>
                <w:lang w:bidi="ar"/>
              </w:rPr>
              <w:t>银行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农商行和</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农合行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23"/>
                <w:rFonts w:hint="default"/>
                <w:lang w:bidi="ar"/>
              </w:rPr>
              <w:t>其他机构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23"/>
                <w:rFonts w:hint="default"/>
                <w:lang w:bidi="ar"/>
              </w:rPr>
              <w:t>合计</w:t>
            </w:r>
          </w:p>
        </w:tc>
      </w:tr>
      <w:tr>
        <w:tblPrEx>
          <w:tblCellMar>
            <w:top w:w="0" w:type="dxa"/>
            <w:left w:w="108" w:type="dxa"/>
            <w:bottom w:w="0" w:type="dxa"/>
            <w:right w:w="108" w:type="dxa"/>
          </w:tblCellMar>
        </w:tblPrEx>
        <w:trPr>
          <w:trHeight w:val="375"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b/>
                <w:bCs/>
                <w:color w:val="000000"/>
                <w:sz w:val="16"/>
                <w:szCs w:val="16"/>
              </w:rPr>
            </w:pPr>
            <w:r>
              <w:rPr>
                <w:rStyle w:val="24"/>
                <w:rFonts w:hint="default"/>
                <w:lang w:bidi="ar"/>
              </w:rPr>
              <w:t>一、上年贷款发放情况</w:t>
            </w:r>
          </w:p>
        </w:tc>
      </w:tr>
      <w:tr>
        <w:tblPrEx>
          <w:tblCellMar>
            <w:top w:w="0" w:type="dxa"/>
            <w:left w:w="108" w:type="dxa"/>
            <w:bottom w:w="0" w:type="dxa"/>
            <w:right w:w="108" w:type="dxa"/>
          </w:tblCellMar>
        </w:tblPrEx>
        <w:trPr>
          <w:trHeight w:val="4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16"/>
                <w:szCs w:val="16"/>
              </w:rPr>
            </w:pPr>
            <w:r>
              <w:rPr>
                <w:rFonts w:ascii="Times New Roman" w:hAnsi="Times New Roman" w:eastAsia="宋体" w:cs="Times New Roman"/>
                <w:b/>
                <w:bCs/>
                <w:color w:val="000000"/>
                <w:kern w:val="0"/>
                <w:sz w:val="16"/>
                <w:szCs w:val="16"/>
                <w:lang w:bidi="ar"/>
              </w:rPr>
              <w:t>1</w:t>
            </w:r>
            <w:r>
              <w:rPr>
                <w:rStyle w:val="24"/>
                <w:rFonts w:hint="default"/>
                <w:lang w:bidi="ar"/>
              </w:rPr>
              <w:t>、年度贷款发放额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4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6"/>
                <w:szCs w:val="16"/>
              </w:rPr>
            </w:pPr>
            <w:r>
              <w:rPr>
                <w:rFonts w:ascii="Times New Roman" w:hAnsi="Times New Roman" w:eastAsia="宋体" w:cs="Times New Roman"/>
                <w:color w:val="000000"/>
                <w:kern w:val="0"/>
                <w:sz w:val="16"/>
                <w:szCs w:val="16"/>
                <w:lang w:bidi="ar"/>
              </w:rPr>
              <w:t xml:space="preserve">     </w:t>
            </w:r>
            <w:r>
              <w:rPr>
                <w:rStyle w:val="25"/>
                <w:rFonts w:hint="default"/>
                <w:lang w:bidi="ar"/>
              </w:rPr>
              <w:t>其中：个人贷款发放额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4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6"/>
                <w:szCs w:val="16"/>
              </w:rPr>
            </w:pPr>
            <w:r>
              <w:rPr>
                <w:rFonts w:ascii="Times New Roman" w:hAnsi="Times New Roman" w:eastAsia="宋体" w:cs="Times New Roman"/>
                <w:color w:val="000000"/>
                <w:kern w:val="0"/>
                <w:sz w:val="16"/>
                <w:szCs w:val="16"/>
                <w:lang w:bidi="ar"/>
              </w:rPr>
              <w:t xml:space="preserve">                   </w:t>
            </w:r>
            <w:r>
              <w:rPr>
                <w:rStyle w:val="25"/>
                <w:rFonts w:hint="default"/>
                <w:lang w:bidi="ar"/>
              </w:rPr>
              <w:t>小微企业贷款发放额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4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16"/>
                <w:szCs w:val="16"/>
              </w:rPr>
            </w:pPr>
            <w:r>
              <w:rPr>
                <w:rFonts w:ascii="Times New Roman" w:hAnsi="Times New Roman" w:eastAsia="宋体" w:cs="Times New Roman"/>
                <w:b/>
                <w:bCs/>
                <w:color w:val="000000"/>
                <w:kern w:val="0"/>
                <w:sz w:val="16"/>
                <w:szCs w:val="16"/>
                <w:lang w:bidi="ar"/>
              </w:rPr>
              <w:t>2</w:t>
            </w:r>
            <w:r>
              <w:rPr>
                <w:rStyle w:val="24"/>
                <w:rFonts w:hint="default"/>
                <w:lang w:bidi="ar"/>
              </w:rPr>
              <w:t>、月均贷款余额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4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其中：个人贷款月均余额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4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小微企业贷款月均余额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4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16"/>
                <w:szCs w:val="16"/>
              </w:rPr>
            </w:pPr>
            <w:r>
              <w:rPr>
                <w:rFonts w:ascii="Times New Roman" w:hAnsi="Times New Roman" w:eastAsia="宋体" w:cs="Times New Roman"/>
                <w:b/>
                <w:bCs/>
                <w:color w:val="000000"/>
                <w:kern w:val="0"/>
                <w:sz w:val="16"/>
                <w:szCs w:val="16"/>
                <w:lang w:bidi="ar"/>
              </w:rPr>
              <w:t>3</w:t>
            </w:r>
            <w:r>
              <w:rPr>
                <w:rStyle w:val="24"/>
                <w:rFonts w:hint="default"/>
                <w:lang w:bidi="ar"/>
              </w:rPr>
              <w:t>、年末贷款余额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4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6"/>
                <w:szCs w:val="16"/>
              </w:rPr>
            </w:pPr>
            <w:r>
              <w:rPr>
                <w:rFonts w:ascii="Times New Roman" w:hAnsi="Times New Roman" w:eastAsia="宋体" w:cs="Times New Roman"/>
                <w:color w:val="000000"/>
                <w:kern w:val="0"/>
                <w:sz w:val="16"/>
                <w:szCs w:val="16"/>
                <w:lang w:bidi="ar"/>
              </w:rPr>
              <w:t xml:space="preserve">     </w:t>
            </w:r>
            <w:r>
              <w:rPr>
                <w:rStyle w:val="25"/>
                <w:rFonts w:hint="default"/>
                <w:lang w:bidi="ar"/>
              </w:rPr>
              <w:t>其中：个人贷款年末余额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4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6"/>
                <w:szCs w:val="16"/>
              </w:rPr>
            </w:pPr>
            <w:r>
              <w:rPr>
                <w:rFonts w:ascii="Times New Roman" w:hAnsi="Times New Roman" w:eastAsia="宋体" w:cs="Times New Roman"/>
                <w:color w:val="000000"/>
                <w:kern w:val="0"/>
                <w:sz w:val="16"/>
                <w:szCs w:val="16"/>
                <w:lang w:bidi="ar"/>
              </w:rPr>
              <w:t xml:space="preserve">                   </w:t>
            </w:r>
            <w:r>
              <w:rPr>
                <w:rStyle w:val="25"/>
                <w:rFonts w:hint="default"/>
                <w:lang w:bidi="ar"/>
              </w:rPr>
              <w:t>小微企业贷款年末余额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4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16"/>
                <w:szCs w:val="16"/>
              </w:rPr>
            </w:pPr>
            <w:r>
              <w:rPr>
                <w:rFonts w:ascii="Times New Roman" w:hAnsi="Times New Roman" w:eastAsia="宋体" w:cs="Times New Roman"/>
                <w:b/>
                <w:bCs/>
                <w:color w:val="000000"/>
                <w:kern w:val="0"/>
                <w:sz w:val="16"/>
                <w:szCs w:val="16"/>
                <w:lang w:bidi="ar"/>
              </w:rPr>
              <w:t>4</w:t>
            </w:r>
            <w:r>
              <w:rPr>
                <w:rStyle w:val="24"/>
                <w:rFonts w:hint="default"/>
                <w:lang w:bidi="ar"/>
              </w:rPr>
              <w:t>、年度贷款发放笔数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4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6"/>
                <w:szCs w:val="16"/>
              </w:rPr>
            </w:pPr>
            <w:r>
              <w:rPr>
                <w:rFonts w:ascii="Times New Roman" w:hAnsi="Times New Roman" w:eastAsia="宋体" w:cs="Times New Roman"/>
                <w:color w:val="000000"/>
                <w:kern w:val="0"/>
                <w:sz w:val="16"/>
                <w:szCs w:val="16"/>
                <w:lang w:bidi="ar"/>
              </w:rPr>
              <w:t xml:space="preserve">     </w:t>
            </w:r>
            <w:r>
              <w:rPr>
                <w:rStyle w:val="25"/>
                <w:rFonts w:hint="default"/>
                <w:lang w:bidi="ar"/>
              </w:rPr>
              <w:t>其中：个人贷款发放笔数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4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6"/>
                <w:szCs w:val="16"/>
              </w:rPr>
            </w:pPr>
            <w:r>
              <w:rPr>
                <w:rFonts w:ascii="Times New Roman" w:hAnsi="Times New Roman" w:eastAsia="宋体" w:cs="Times New Roman"/>
                <w:color w:val="000000"/>
                <w:kern w:val="0"/>
                <w:sz w:val="16"/>
                <w:szCs w:val="16"/>
                <w:lang w:bidi="ar"/>
              </w:rPr>
              <w:t xml:space="preserve">                   </w:t>
            </w:r>
            <w:r>
              <w:rPr>
                <w:rStyle w:val="25"/>
                <w:rFonts w:hint="default"/>
                <w:lang w:bidi="ar"/>
              </w:rPr>
              <w:t>小微企业贷款发放笔数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4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16"/>
                <w:szCs w:val="16"/>
              </w:rPr>
            </w:pPr>
            <w:r>
              <w:rPr>
                <w:rFonts w:ascii="Times New Roman" w:hAnsi="Times New Roman" w:eastAsia="宋体" w:cs="Times New Roman"/>
                <w:b/>
                <w:bCs/>
                <w:color w:val="000000"/>
                <w:kern w:val="0"/>
                <w:sz w:val="16"/>
                <w:szCs w:val="16"/>
                <w:lang w:bidi="ar"/>
              </w:rPr>
              <w:t>5</w:t>
            </w:r>
            <w:r>
              <w:rPr>
                <w:rStyle w:val="24"/>
                <w:rFonts w:hint="default"/>
                <w:lang w:bidi="ar"/>
              </w:rPr>
              <w:t>、年末在保贷款笔数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4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6"/>
                <w:szCs w:val="16"/>
              </w:rPr>
            </w:pPr>
            <w:r>
              <w:rPr>
                <w:rFonts w:ascii="Times New Roman" w:hAnsi="Times New Roman" w:eastAsia="宋体" w:cs="Times New Roman"/>
                <w:color w:val="000000"/>
                <w:kern w:val="0"/>
                <w:sz w:val="16"/>
                <w:szCs w:val="16"/>
                <w:lang w:bidi="ar"/>
              </w:rPr>
              <w:t xml:space="preserve">     </w:t>
            </w:r>
            <w:r>
              <w:rPr>
                <w:rStyle w:val="25"/>
                <w:rFonts w:hint="default"/>
                <w:lang w:bidi="ar"/>
              </w:rPr>
              <w:t>其中：个人贷款笔数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4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6"/>
                <w:szCs w:val="16"/>
              </w:rPr>
            </w:pPr>
            <w:r>
              <w:rPr>
                <w:rFonts w:ascii="Times New Roman" w:hAnsi="Times New Roman" w:eastAsia="宋体" w:cs="Times New Roman"/>
                <w:color w:val="000000"/>
                <w:kern w:val="0"/>
                <w:sz w:val="16"/>
                <w:szCs w:val="16"/>
                <w:lang w:bidi="ar"/>
              </w:rPr>
              <w:t xml:space="preserve">                   </w:t>
            </w:r>
            <w:r>
              <w:rPr>
                <w:rStyle w:val="25"/>
                <w:rFonts w:hint="default"/>
                <w:lang w:bidi="ar"/>
              </w:rPr>
              <w:t>小微企业贷款笔数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ascii="Times New Roman" w:hAnsi="Times New Roman" w:eastAsia="宋体" w:cs="Times New Roman"/>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409"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二、上年贷款贴息情况</w:t>
            </w:r>
          </w:p>
        </w:tc>
      </w:tr>
      <w:tr>
        <w:tblPrEx>
          <w:tblCellMar>
            <w:top w:w="0" w:type="dxa"/>
            <w:left w:w="108" w:type="dxa"/>
            <w:bottom w:w="0" w:type="dxa"/>
            <w:right w:w="108" w:type="dxa"/>
          </w:tblCellMar>
        </w:tblPrEx>
        <w:trPr>
          <w:trHeight w:val="4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往年结余贴息资金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4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6"/>
                <w:szCs w:val="16"/>
              </w:rPr>
            </w:pPr>
            <w:r>
              <w:rPr>
                <w:rFonts w:ascii="Times New Roman" w:hAnsi="Times New Roman" w:eastAsia="宋体" w:cs="Times New Roman"/>
                <w:color w:val="000000"/>
                <w:kern w:val="0"/>
                <w:sz w:val="16"/>
                <w:szCs w:val="16"/>
                <w:lang w:bidi="ar"/>
              </w:rPr>
              <w:t xml:space="preserve">           </w:t>
            </w:r>
            <w:r>
              <w:rPr>
                <w:rStyle w:val="25"/>
                <w:rFonts w:hint="default"/>
                <w:lang w:bidi="ar"/>
              </w:rPr>
              <w:t>其中：中央财政结余贴息资金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4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6"/>
                <w:szCs w:val="16"/>
              </w:rPr>
            </w:pPr>
            <w:r>
              <w:rPr>
                <w:rFonts w:ascii="Times New Roman" w:hAnsi="Times New Roman" w:eastAsia="宋体" w:cs="Times New Roman"/>
                <w:color w:val="000000"/>
                <w:kern w:val="0"/>
                <w:sz w:val="16"/>
                <w:szCs w:val="16"/>
                <w:lang w:bidi="ar"/>
              </w:rPr>
              <w:t xml:space="preserve">                         </w:t>
            </w:r>
            <w:r>
              <w:rPr>
                <w:rStyle w:val="25"/>
                <w:rFonts w:hint="default"/>
                <w:lang w:bidi="ar"/>
              </w:rPr>
              <w:t>市级财政结余贴息资金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4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上年安排贴息资金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4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6"/>
                <w:szCs w:val="16"/>
              </w:rPr>
            </w:pPr>
            <w:r>
              <w:rPr>
                <w:rFonts w:ascii="Times New Roman" w:hAnsi="Times New Roman" w:eastAsia="宋体" w:cs="Times New Roman"/>
                <w:color w:val="000000"/>
                <w:kern w:val="0"/>
                <w:sz w:val="16"/>
                <w:szCs w:val="16"/>
                <w:lang w:bidi="ar"/>
              </w:rPr>
              <w:t xml:space="preserve">           </w:t>
            </w:r>
            <w:r>
              <w:rPr>
                <w:rStyle w:val="25"/>
                <w:rFonts w:hint="default"/>
                <w:lang w:bidi="ar"/>
              </w:rPr>
              <w:t>其中：中央财政安排贴息资金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4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6"/>
                <w:szCs w:val="16"/>
              </w:rPr>
            </w:pPr>
            <w:r>
              <w:rPr>
                <w:rFonts w:ascii="Times New Roman" w:hAnsi="Times New Roman" w:eastAsia="宋体" w:cs="Times New Roman"/>
                <w:color w:val="000000"/>
                <w:kern w:val="0"/>
                <w:sz w:val="16"/>
                <w:szCs w:val="16"/>
                <w:lang w:bidi="ar"/>
              </w:rPr>
              <w:t xml:space="preserve">                         </w:t>
            </w:r>
            <w:r>
              <w:rPr>
                <w:rStyle w:val="25"/>
                <w:rFonts w:hint="default"/>
                <w:lang w:bidi="ar"/>
              </w:rPr>
              <w:t>市级财政安排贴息资金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5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应拨付贴息资金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5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6"/>
                <w:szCs w:val="16"/>
              </w:rPr>
            </w:pPr>
            <w:r>
              <w:rPr>
                <w:rFonts w:ascii="Times New Roman" w:hAnsi="Times New Roman" w:eastAsia="宋体" w:cs="Times New Roman"/>
                <w:color w:val="000000"/>
                <w:kern w:val="0"/>
                <w:sz w:val="16"/>
                <w:szCs w:val="16"/>
                <w:lang w:bidi="ar"/>
              </w:rPr>
              <w:t xml:space="preserve">           </w:t>
            </w:r>
            <w:r>
              <w:rPr>
                <w:rStyle w:val="25"/>
                <w:rFonts w:hint="default"/>
                <w:lang w:bidi="ar"/>
              </w:rPr>
              <w:t>其中：中央财政应付贴息资金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5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6"/>
                <w:szCs w:val="16"/>
              </w:rPr>
            </w:pPr>
            <w:r>
              <w:rPr>
                <w:rFonts w:ascii="Times New Roman" w:hAnsi="Times New Roman" w:eastAsia="宋体" w:cs="Times New Roman"/>
                <w:color w:val="000000"/>
                <w:kern w:val="0"/>
                <w:sz w:val="16"/>
                <w:szCs w:val="16"/>
                <w:lang w:bidi="ar"/>
              </w:rPr>
              <w:t xml:space="preserve">                         </w:t>
            </w:r>
            <w:r>
              <w:rPr>
                <w:rStyle w:val="25"/>
                <w:rFonts w:hint="default"/>
                <w:lang w:bidi="ar"/>
              </w:rPr>
              <w:t>市级财政应付贴息资金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实际拨付贴息资金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6"/>
                <w:szCs w:val="16"/>
              </w:rPr>
            </w:pPr>
            <w:r>
              <w:rPr>
                <w:rFonts w:ascii="Times New Roman" w:hAnsi="Times New Roman" w:eastAsia="宋体" w:cs="Times New Roman"/>
                <w:color w:val="000000"/>
                <w:kern w:val="0"/>
                <w:sz w:val="16"/>
                <w:szCs w:val="16"/>
                <w:lang w:bidi="ar"/>
              </w:rPr>
              <w:t xml:space="preserve">           </w:t>
            </w:r>
            <w:r>
              <w:rPr>
                <w:rStyle w:val="25"/>
                <w:rFonts w:hint="default"/>
                <w:lang w:bidi="ar"/>
              </w:rPr>
              <w:t>其中：中央财政实付贴息资金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6"/>
                <w:szCs w:val="16"/>
              </w:rPr>
            </w:pPr>
            <w:r>
              <w:rPr>
                <w:rFonts w:ascii="Times New Roman" w:hAnsi="Times New Roman" w:eastAsia="宋体" w:cs="Times New Roman"/>
                <w:color w:val="000000"/>
                <w:kern w:val="0"/>
                <w:sz w:val="16"/>
                <w:szCs w:val="16"/>
                <w:lang w:bidi="ar"/>
              </w:rPr>
              <w:t xml:space="preserve">                        </w:t>
            </w:r>
            <w:r>
              <w:rPr>
                <w:rStyle w:val="25"/>
                <w:rFonts w:hint="default"/>
                <w:lang w:bidi="ar"/>
              </w:rPr>
              <w:t>市级财政实付贴息资金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年末结余贴息资金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6"/>
                <w:szCs w:val="16"/>
              </w:rPr>
            </w:pPr>
            <w:r>
              <w:rPr>
                <w:rFonts w:ascii="Times New Roman" w:hAnsi="Times New Roman" w:eastAsia="宋体" w:cs="Times New Roman"/>
                <w:color w:val="000000"/>
                <w:kern w:val="0"/>
                <w:sz w:val="16"/>
                <w:szCs w:val="16"/>
                <w:lang w:bidi="ar"/>
              </w:rPr>
              <w:t xml:space="preserve">           </w:t>
            </w:r>
            <w:r>
              <w:rPr>
                <w:rStyle w:val="25"/>
                <w:rFonts w:hint="default"/>
                <w:lang w:bidi="ar"/>
              </w:rPr>
              <w:t>其中：中央财政结余贴息资金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6"/>
                <w:szCs w:val="16"/>
              </w:rPr>
            </w:pPr>
            <w:r>
              <w:rPr>
                <w:rFonts w:ascii="Times New Roman" w:hAnsi="Times New Roman" w:eastAsia="宋体" w:cs="Times New Roman"/>
                <w:color w:val="000000"/>
                <w:kern w:val="0"/>
                <w:sz w:val="16"/>
                <w:szCs w:val="16"/>
                <w:lang w:bidi="ar"/>
              </w:rPr>
              <w:t xml:space="preserve">                         </w:t>
            </w:r>
            <w:r>
              <w:rPr>
                <w:rStyle w:val="25"/>
                <w:rFonts w:hint="default"/>
                <w:lang w:bidi="ar"/>
              </w:rPr>
              <w:t>市级财政结余贴息资金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50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五、本年贷款计划</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黑体_GBK" w:hAnsi="方正黑体_GBK" w:eastAsia="方正黑体_GBK" w:cs="方正黑体_GBK"/>
                <w:b/>
                <w:bCs/>
                <w:color w:val="000000"/>
                <w:sz w:val="16"/>
                <w:szCs w:val="16"/>
              </w:rPr>
            </w:pPr>
            <w:r>
              <w:rPr>
                <w:rFonts w:hint="eastAsia" w:ascii="方正黑体_GBK" w:hAnsi="方正黑体_GBK" w:eastAsia="方正黑体_GBK" w:cs="方正黑体_GBK"/>
                <w:b/>
                <w:bCs/>
                <w:color w:val="000000"/>
                <w:kern w:val="0"/>
                <w:sz w:val="16"/>
                <w:szCs w:val="16"/>
                <w:lang w:bidi="ar"/>
              </w:rPr>
              <w:t>预计本年贷款发放额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其中：个人贷款发放额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小微企业贷款发放额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黑体_GBK" w:hAnsi="方正黑体_GBK" w:eastAsia="方正黑体_GBK" w:cs="方正黑体_GBK"/>
                <w:b/>
                <w:bCs/>
                <w:color w:val="000000"/>
                <w:sz w:val="16"/>
                <w:szCs w:val="16"/>
              </w:rPr>
            </w:pPr>
            <w:r>
              <w:rPr>
                <w:rFonts w:hint="eastAsia" w:ascii="方正黑体_GBK" w:hAnsi="方正黑体_GBK" w:eastAsia="方正黑体_GBK" w:cs="方正黑体_GBK"/>
                <w:b/>
                <w:bCs/>
                <w:color w:val="000000"/>
                <w:kern w:val="0"/>
                <w:sz w:val="16"/>
                <w:szCs w:val="16"/>
                <w:lang w:bidi="ar"/>
              </w:rPr>
              <w:t>当年申请贴息资金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r>
    </w:tbl>
    <w:p>
      <w:pPr>
        <w:spacing w:line="578" w:lineRule="exact"/>
        <w:rPr>
          <w:rFonts w:ascii="方正仿宋_GBK" w:hAnsi="方正仿宋_GBK" w:eastAsia="方正仿宋_GBK" w:cs="方正仿宋_GBK"/>
          <w:sz w:val="32"/>
          <w:szCs w:val="32"/>
        </w:rPr>
        <w:sectPr>
          <w:headerReference r:id="rId7" w:type="default"/>
          <w:footerReference r:id="rId8" w:type="default"/>
          <w:pgSz w:w="11906" w:h="16838"/>
          <w:pgMar w:top="1962" w:right="1474" w:bottom="1962" w:left="1587" w:header="680" w:footer="1020" w:gutter="0"/>
          <w:pgNumType w:fmt="numberInDash"/>
          <w:cols w:space="0" w:num="1"/>
          <w:docGrid w:type="lines" w:linePitch="312" w:charSpace="0"/>
        </w:sectPr>
      </w:pPr>
    </w:p>
    <w:tbl>
      <w:tblPr>
        <w:tblStyle w:val="8"/>
        <w:tblW w:w="0" w:type="auto"/>
        <w:tblInd w:w="93" w:type="dxa"/>
        <w:tblLayout w:type="autofit"/>
        <w:tblCellMar>
          <w:top w:w="0" w:type="dxa"/>
          <w:left w:w="108" w:type="dxa"/>
          <w:bottom w:w="0" w:type="dxa"/>
          <w:right w:w="108" w:type="dxa"/>
        </w:tblCellMar>
      </w:tblPr>
      <w:tblGrid>
        <w:gridCol w:w="4531"/>
        <w:gridCol w:w="354"/>
        <w:gridCol w:w="354"/>
        <w:gridCol w:w="354"/>
        <w:gridCol w:w="354"/>
        <w:gridCol w:w="354"/>
        <w:gridCol w:w="354"/>
        <w:gridCol w:w="354"/>
        <w:gridCol w:w="354"/>
        <w:gridCol w:w="354"/>
        <w:gridCol w:w="354"/>
        <w:gridCol w:w="354"/>
        <w:gridCol w:w="354"/>
        <w:gridCol w:w="354"/>
        <w:gridCol w:w="354"/>
        <w:gridCol w:w="355"/>
        <w:gridCol w:w="355"/>
        <w:gridCol w:w="355"/>
        <w:gridCol w:w="355"/>
        <w:gridCol w:w="355"/>
        <w:gridCol w:w="355"/>
        <w:gridCol w:w="355"/>
        <w:gridCol w:w="355"/>
        <w:gridCol w:w="355"/>
        <w:gridCol w:w="355"/>
      </w:tblGrid>
      <w:tr>
        <w:tblPrEx>
          <w:tblCellMar>
            <w:top w:w="0" w:type="dxa"/>
            <w:left w:w="108" w:type="dxa"/>
            <w:bottom w:w="0" w:type="dxa"/>
            <w:right w:w="108" w:type="dxa"/>
          </w:tblCellMar>
        </w:tblPrEx>
        <w:trPr>
          <w:trHeight w:val="570" w:hRule="atLeast"/>
        </w:trPr>
        <w:tc>
          <w:tcPr>
            <w:tcW w:w="0" w:type="auto"/>
            <w:tcBorders>
              <w:top w:val="nil"/>
              <w:left w:val="nil"/>
              <w:bottom w:val="nil"/>
              <w:right w:val="nil"/>
            </w:tcBorders>
            <w:shd w:val="clear" w:color="auto" w:fill="auto"/>
            <w:noWrap/>
            <w:vAlign w:val="center"/>
          </w:tcPr>
          <w:p>
            <w:pPr>
              <w:widowControl/>
              <w:jc w:val="left"/>
              <w:textAlignment w:val="center"/>
              <w:rPr>
                <w:rFonts w:ascii="黑体" w:hAnsi="宋体" w:eastAsia="黑体" w:cs="黑体"/>
                <w:color w:val="000000"/>
                <w:sz w:val="24"/>
              </w:rPr>
            </w:pPr>
            <w:r>
              <w:rPr>
                <w:rFonts w:hint="eastAsia" w:ascii="黑体" w:hAnsi="宋体" w:eastAsia="黑体" w:cs="黑体"/>
                <w:color w:val="000000"/>
                <w:kern w:val="0"/>
                <w:sz w:val="24"/>
                <w:lang w:bidi="ar"/>
              </w:rPr>
              <w:t>附件</w:t>
            </w:r>
            <w:r>
              <w:rPr>
                <w:rStyle w:val="27"/>
                <w:rFonts w:eastAsia="黑体"/>
                <w:lang w:bidi="ar"/>
              </w:rPr>
              <w:t>1-2</w:t>
            </w: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885" w:hRule="atLeast"/>
        </w:trPr>
        <w:tc>
          <w:tcPr>
            <w:tcW w:w="0" w:type="auto"/>
            <w:gridSpan w:val="25"/>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color w:val="000000"/>
                <w:sz w:val="32"/>
                <w:szCs w:val="32"/>
              </w:rPr>
            </w:pPr>
            <w:r>
              <w:rPr>
                <w:rFonts w:ascii="Times New Roman" w:hAnsi="Times New Roman" w:eastAsia="宋体" w:cs="Times New Roman"/>
                <w:color w:val="000000"/>
                <w:kern w:val="0"/>
                <w:sz w:val="32"/>
                <w:szCs w:val="32"/>
                <w:lang w:bidi="ar"/>
              </w:rPr>
              <w:t>_____</w:t>
            </w:r>
            <w:r>
              <w:rPr>
                <w:rStyle w:val="28"/>
                <w:rFonts w:ascii="宋体" w:hAnsi="宋体" w:eastAsia="宋体" w:cs="宋体"/>
                <w:sz w:val="24"/>
                <w:szCs w:val="24"/>
                <w:lang w:bidi="ar"/>
              </w:rPr>
              <w:t>年创业担保贷款月末余额情况统计表</w:t>
            </w:r>
          </w:p>
        </w:tc>
      </w:tr>
      <w:tr>
        <w:tblPrEx>
          <w:tblCellMar>
            <w:top w:w="0" w:type="dxa"/>
            <w:left w:w="108" w:type="dxa"/>
            <w:bottom w:w="0" w:type="dxa"/>
            <w:right w:w="108" w:type="dxa"/>
          </w:tblCellMar>
        </w:tblPrEx>
        <w:trPr>
          <w:trHeight w:val="450" w:hRule="atLeast"/>
        </w:trPr>
        <w:tc>
          <w:tcPr>
            <w:tcW w:w="0" w:type="auto"/>
            <w:tcBorders>
              <w:top w:val="nil"/>
              <w:left w:val="nil"/>
              <w:bottom w:val="nil"/>
              <w:right w:val="nil"/>
            </w:tcBorders>
            <w:shd w:val="clear" w:color="auto" w:fill="auto"/>
            <w:noWrap/>
            <w:vAlign w:val="bottom"/>
          </w:tcPr>
          <w:p>
            <w:pPr>
              <w:widowControl/>
              <w:jc w:val="left"/>
              <w:textAlignment w:val="bottom"/>
              <w:rPr>
                <w:rFonts w:ascii="Times New Roman" w:hAnsi="Times New Roman" w:eastAsia="宋体" w:cs="Times New Roman"/>
                <w:color w:val="000000"/>
                <w:sz w:val="22"/>
                <w:szCs w:val="22"/>
              </w:rPr>
            </w:pPr>
            <w:r>
              <w:rPr>
                <w:rStyle w:val="29"/>
                <w:rFonts w:hint="default"/>
                <w:lang w:bidi="ar"/>
              </w:rPr>
              <w:t>填报单位：</w:t>
            </w:r>
            <w:r>
              <w:rPr>
                <w:rStyle w:val="30"/>
                <w:rFonts w:eastAsia="宋体"/>
                <w:lang w:bidi="ar"/>
              </w:rPr>
              <w:t xml:space="preserve">                </w:t>
            </w:r>
            <w:r>
              <w:rPr>
                <w:rFonts w:ascii="Times New Roman" w:hAnsi="Times New Roman" w:eastAsia="宋体" w:cs="Times New Roman"/>
                <w:i/>
                <w:iCs/>
                <w:color w:val="000000"/>
                <w:kern w:val="0"/>
                <w:sz w:val="22"/>
                <w:szCs w:val="22"/>
                <w:lang w:bidi="ar"/>
              </w:rPr>
              <w:t xml:space="preserve">   </w:t>
            </w: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c>
          <w:tcPr>
            <w:tcW w:w="0" w:type="auto"/>
            <w:gridSpan w:val="6"/>
            <w:tcBorders>
              <w:top w:val="nil"/>
              <w:left w:val="nil"/>
              <w:bottom w:val="single" w:color="000000" w:sz="4" w:space="0"/>
              <w:right w:val="nil"/>
            </w:tcBorders>
            <w:shd w:val="clear" w:color="auto" w:fill="auto"/>
            <w:vAlign w:val="bottom"/>
          </w:tcPr>
          <w:p>
            <w:pPr>
              <w:widowControl/>
              <w:jc w:val="right"/>
              <w:textAlignment w:val="bottom"/>
              <w:rPr>
                <w:rFonts w:ascii="Times New Roman" w:hAnsi="Times New Roman" w:eastAsia="宋体" w:cs="Times New Roman"/>
                <w:color w:val="000000"/>
                <w:sz w:val="22"/>
                <w:szCs w:val="22"/>
              </w:rPr>
            </w:pPr>
            <w:r>
              <w:rPr>
                <w:rStyle w:val="29"/>
                <w:rFonts w:hint="default"/>
                <w:lang w:bidi="ar"/>
              </w:rPr>
              <w:t>单位：万元</w:t>
            </w:r>
          </w:p>
        </w:tc>
      </w:tr>
      <w:tr>
        <w:tblPrEx>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bdr w:val="single" w:color="000000" w:sz="4" w:space="0"/>
              </w:rPr>
              <w:drawing>
                <wp:anchor distT="0" distB="0" distL="114300" distR="114300" simplePos="0" relativeHeight="251661312" behindDoc="0" locked="0" layoutInCell="1" allowOverlap="1">
                  <wp:simplePos x="0" y="0"/>
                  <wp:positionH relativeFrom="column">
                    <wp:posOffset>9525</wp:posOffset>
                  </wp:positionH>
                  <wp:positionV relativeFrom="paragraph">
                    <wp:posOffset>19050</wp:posOffset>
                  </wp:positionV>
                  <wp:extent cx="885825" cy="951865"/>
                  <wp:effectExtent l="0" t="0" r="9525" b="635"/>
                  <wp:wrapNone/>
                  <wp:docPr id="68" name="Line_1"/>
                  <wp:cNvGraphicFramePr/>
                  <a:graphic xmlns:a="http://schemas.openxmlformats.org/drawingml/2006/main">
                    <a:graphicData uri="http://schemas.openxmlformats.org/drawingml/2006/picture">
                      <pic:pic xmlns:pic="http://schemas.openxmlformats.org/drawingml/2006/picture">
                        <pic:nvPicPr>
                          <pic:cNvPr id="68" name="Line_1"/>
                          <pic:cNvPicPr/>
                        </pic:nvPicPr>
                        <pic:blipFill>
                          <a:blip r:embed="rId17"/>
                          <a:stretch>
                            <a:fillRect/>
                          </a:stretch>
                        </pic:blipFill>
                        <pic:spPr>
                          <a:xfrm>
                            <a:off x="0" y="0"/>
                            <a:ext cx="885825" cy="951865"/>
                          </a:xfrm>
                          <a:prstGeom prst="rect">
                            <a:avLst/>
                          </a:prstGeom>
                          <a:noFill/>
                          <a:ln>
                            <a:noFill/>
                          </a:ln>
                        </pic:spPr>
                      </pic:pic>
                    </a:graphicData>
                  </a:graphic>
                </wp:anchor>
              </w:drawing>
            </w:r>
            <w:r>
              <w:rPr>
                <w:rFonts w:ascii="Times New Roman" w:hAnsi="Times New Roman" w:eastAsia="宋体" w:cs="Times New Roman"/>
                <w:b/>
                <w:bCs/>
                <w:color w:val="000000"/>
                <w:kern w:val="0"/>
                <w:sz w:val="20"/>
                <w:szCs w:val="20"/>
                <w:bdr w:val="single" w:color="000000" w:sz="4" w:space="0"/>
              </w:rPr>
              <w:drawing>
                <wp:anchor distT="0" distB="0" distL="114300" distR="114300" simplePos="0" relativeHeight="251662336" behindDoc="0" locked="0" layoutInCell="1" allowOverlap="1">
                  <wp:simplePos x="0" y="0"/>
                  <wp:positionH relativeFrom="column">
                    <wp:posOffset>19050</wp:posOffset>
                  </wp:positionH>
                  <wp:positionV relativeFrom="paragraph">
                    <wp:posOffset>38100</wp:posOffset>
                  </wp:positionV>
                  <wp:extent cx="1076325" cy="380365"/>
                  <wp:effectExtent l="0" t="0" r="9525" b="635"/>
                  <wp:wrapNone/>
                  <wp:docPr id="69" name="Line_2"/>
                  <wp:cNvGraphicFramePr/>
                  <a:graphic xmlns:a="http://schemas.openxmlformats.org/drawingml/2006/main">
                    <a:graphicData uri="http://schemas.openxmlformats.org/drawingml/2006/picture">
                      <pic:pic xmlns:pic="http://schemas.openxmlformats.org/drawingml/2006/picture">
                        <pic:nvPicPr>
                          <pic:cNvPr id="69" name="Line_2"/>
                          <pic:cNvPicPr/>
                        </pic:nvPicPr>
                        <pic:blipFill>
                          <a:blip r:embed="rId18"/>
                          <a:stretch>
                            <a:fillRect/>
                          </a:stretch>
                        </pic:blipFill>
                        <pic:spPr>
                          <a:xfrm>
                            <a:off x="0" y="0"/>
                            <a:ext cx="1076325" cy="380365"/>
                          </a:xfrm>
                          <a:prstGeom prst="rect">
                            <a:avLst/>
                          </a:prstGeom>
                          <a:noFill/>
                          <a:ln>
                            <a:noFill/>
                          </a:ln>
                        </pic:spPr>
                      </pic:pic>
                    </a:graphicData>
                  </a:graphic>
                </wp:anchor>
              </w:drawing>
            </w:r>
            <w:r>
              <w:rPr>
                <w:rFonts w:ascii="Times New Roman" w:hAnsi="Times New Roman" w:eastAsia="宋体" w:cs="Times New Roman"/>
                <w:b/>
                <w:bCs/>
                <w:color w:val="000000"/>
                <w:kern w:val="0"/>
                <w:sz w:val="20"/>
                <w:szCs w:val="20"/>
                <w:lang w:bidi="ar"/>
              </w:rPr>
              <w:t xml:space="preserve">       </w:t>
            </w:r>
            <w:r>
              <w:rPr>
                <w:rStyle w:val="31"/>
                <w:rFonts w:hint="default"/>
                <w:lang w:bidi="ar"/>
              </w:rPr>
              <w:t>月份</w:t>
            </w:r>
            <w:r>
              <w:rPr>
                <w:rStyle w:val="31"/>
                <w:rFonts w:hint="default"/>
                <w:lang w:bidi="ar"/>
              </w:rPr>
              <w:br w:type="textWrapping"/>
            </w:r>
            <w:r>
              <w:rPr>
                <w:rStyle w:val="31"/>
                <w:rFonts w:hint="default"/>
                <w:lang w:bidi="ar"/>
              </w:rPr>
              <w:br w:type="textWrapping"/>
            </w:r>
            <w:r>
              <w:rPr>
                <w:rStyle w:val="31"/>
                <w:rFonts w:hint="default"/>
                <w:lang w:bidi="ar"/>
              </w:rPr>
              <w:br w:type="textWrapping"/>
            </w:r>
            <w:r>
              <w:rPr>
                <w:rStyle w:val="32"/>
                <w:rFonts w:eastAsia="宋体"/>
                <w:lang w:bidi="ar"/>
              </w:rPr>
              <w:t xml:space="preserve">      </w:t>
            </w:r>
            <w:r>
              <w:rPr>
                <w:rStyle w:val="31"/>
                <w:rFonts w:hint="default"/>
                <w:lang w:bidi="ar"/>
              </w:rPr>
              <w:t>项目</w:t>
            </w:r>
            <w:r>
              <w:rPr>
                <w:rStyle w:val="31"/>
                <w:rFonts w:hint="default"/>
                <w:lang w:bidi="ar"/>
              </w:rPr>
              <w:br w:type="textWrapping"/>
            </w:r>
            <w:r>
              <w:rPr>
                <w:rStyle w:val="31"/>
                <w:rFonts w:hint="default"/>
                <w:lang w:bidi="ar"/>
              </w:rPr>
              <w:br w:type="textWrapping"/>
            </w:r>
            <w:r>
              <w:rPr>
                <w:rStyle w:val="31"/>
                <w:rFonts w:hint="default"/>
                <w:lang w:bidi="ar"/>
              </w:rPr>
              <w:t>机构</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lang w:bidi="ar"/>
              </w:rPr>
              <w:t>1</w:t>
            </w:r>
            <w:r>
              <w:rPr>
                <w:rFonts w:hint="eastAsia" w:ascii="宋体" w:hAnsi="宋体" w:eastAsia="宋体" w:cs="宋体"/>
                <w:b/>
                <w:bCs/>
                <w:color w:val="000000"/>
                <w:kern w:val="0"/>
                <w:sz w:val="24"/>
                <w:lang w:bidi="ar"/>
              </w:rPr>
              <w:t>月</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lang w:bidi="ar"/>
              </w:rPr>
              <w:t>2</w:t>
            </w:r>
            <w:r>
              <w:rPr>
                <w:rFonts w:hint="eastAsia" w:ascii="宋体" w:hAnsi="宋体" w:eastAsia="宋体" w:cs="宋体"/>
                <w:b/>
                <w:bCs/>
                <w:color w:val="000000"/>
                <w:kern w:val="0"/>
                <w:sz w:val="24"/>
                <w:lang w:bidi="ar"/>
              </w:rPr>
              <w:t>月</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lang w:bidi="ar"/>
              </w:rPr>
              <w:t>3</w:t>
            </w:r>
            <w:r>
              <w:rPr>
                <w:rFonts w:hint="eastAsia" w:ascii="宋体" w:hAnsi="宋体" w:eastAsia="宋体" w:cs="宋体"/>
                <w:b/>
                <w:bCs/>
                <w:color w:val="000000"/>
                <w:kern w:val="0"/>
                <w:sz w:val="24"/>
                <w:lang w:bidi="ar"/>
              </w:rPr>
              <w:t>月</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lang w:bidi="ar"/>
              </w:rPr>
              <w:t>4</w:t>
            </w:r>
            <w:r>
              <w:rPr>
                <w:rFonts w:hint="eastAsia" w:ascii="宋体" w:hAnsi="宋体" w:eastAsia="宋体" w:cs="宋体"/>
                <w:b/>
                <w:bCs/>
                <w:color w:val="000000"/>
                <w:kern w:val="0"/>
                <w:sz w:val="24"/>
                <w:lang w:bidi="ar"/>
              </w:rPr>
              <w:t>月</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lang w:bidi="ar"/>
              </w:rPr>
              <w:t>5</w:t>
            </w:r>
            <w:r>
              <w:rPr>
                <w:rFonts w:hint="eastAsia" w:ascii="宋体" w:hAnsi="宋体" w:eastAsia="宋体" w:cs="宋体"/>
                <w:b/>
                <w:bCs/>
                <w:color w:val="000000"/>
                <w:kern w:val="0"/>
                <w:sz w:val="24"/>
                <w:lang w:bidi="ar"/>
              </w:rPr>
              <w:t>月</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lang w:bidi="ar"/>
              </w:rPr>
              <w:t>6</w:t>
            </w:r>
            <w:r>
              <w:rPr>
                <w:rFonts w:hint="eastAsia" w:ascii="宋体" w:hAnsi="宋体" w:eastAsia="宋体" w:cs="宋体"/>
                <w:b/>
                <w:bCs/>
                <w:color w:val="000000"/>
                <w:kern w:val="0"/>
                <w:sz w:val="24"/>
                <w:lang w:bidi="ar"/>
              </w:rPr>
              <w:t>月</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lang w:bidi="ar"/>
              </w:rPr>
              <w:t>7</w:t>
            </w:r>
            <w:r>
              <w:rPr>
                <w:rFonts w:hint="eastAsia" w:ascii="宋体" w:hAnsi="宋体" w:eastAsia="宋体" w:cs="宋体"/>
                <w:b/>
                <w:bCs/>
                <w:color w:val="000000"/>
                <w:kern w:val="0"/>
                <w:sz w:val="24"/>
                <w:lang w:bidi="ar"/>
              </w:rPr>
              <w:t>月</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lang w:bidi="ar"/>
              </w:rPr>
              <w:t>8</w:t>
            </w:r>
            <w:r>
              <w:rPr>
                <w:rFonts w:hint="eastAsia" w:ascii="宋体" w:hAnsi="宋体" w:eastAsia="宋体" w:cs="宋体"/>
                <w:b/>
                <w:bCs/>
                <w:color w:val="000000"/>
                <w:kern w:val="0"/>
                <w:sz w:val="24"/>
                <w:lang w:bidi="ar"/>
              </w:rPr>
              <w:t>月</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lang w:bidi="ar"/>
              </w:rPr>
              <w:t>9</w:t>
            </w:r>
            <w:r>
              <w:rPr>
                <w:rFonts w:hint="eastAsia" w:ascii="宋体" w:hAnsi="宋体" w:eastAsia="宋体" w:cs="宋体"/>
                <w:b/>
                <w:bCs/>
                <w:color w:val="000000"/>
                <w:kern w:val="0"/>
                <w:sz w:val="24"/>
                <w:lang w:bidi="ar"/>
              </w:rPr>
              <w:t>月</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lang w:bidi="ar"/>
              </w:rPr>
              <w:t>10</w:t>
            </w:r>
            <w:r>
              <w:rPr>
                <w:rFonts w:hint="eastAsia" w:ascii="宋体" w:hAnsi="宋体" w:eastAsia="宋体" w:cs="宋体"/>
                <w:b/>
                <w:bCs/>
                <w:color w:val="000000"/>
                <w:kern w:val="0"/>
                <w:sz w:val="24"/>
                <w:lang w:bidi="ar"/>
              </w:rPr>
              <w:t>月</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lang w:bidi="ar"/>
              </w:rPr>
              <w:t>11</w:t>
            </w:r>
            <w:r>
              <w:rPr>
                <w:rFonts w:hint="eastAsia" w:ascii="宋体" w:hAnsi="宋体" w:eastAsia="宋体" w:cs="宋体"/>
                <w:b/>
                <w:bCs/>
                <w:color w:val="000000"/>
                <w:kern w:val="0"/>
                <w:sz w:val="24"/>
                <w:lang w:bidi="ar"/>
              </w:rPr>
              <w:t>月</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lang w:bidi="ar"/>
              </w:rPr>
              <w:t>12</w:t>
            </w:r>
            <w:r>
              <w:rPr>
                <w:rFonts w:hint="eastAsia" w:ascii="宋体" w:hAnsi="宋体" w:eastAsia="宋体" w:cs="宋体"/>
                <w:b/>
                <w:bCs/>
                <w:color w:val="000000"/>
                <w:kern w:val="0"/>
                <w:sz w:val="24"/>
                <w:lang w:bidi="ar"/>
              </w:rPr>
              <w:t>月</w:t>
            </w:r>
          </w:p>
        </w:tc>
      </w:tr>
      <w:tr>
        <w:tblPrEx>
          <w:tblCellMar>
            <w:top w:w="0" w:type="dxa"/>
            <w:left w:w="108" w:type="dxa"/>
            <w:bottom w:w="0" w:type="dxa"/>
            <w:right w:w="108" w:type="dxa"/>
          </w:tblCellMar>
        </w:tblPrEx>
        <w:trPr>
          <w:trHeight w:val="10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b/>
                <w:bCs/>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hint="eastAsia" w:ascii="宋体" w:hAnsi="宋体" w:eastAsia="宋体" w:cs="宋体"/>
                <w:color w:val="000000"/>
                <w:kern w:val="0"/>
                <w:sz w:val="18"/>
                <w:szCs w:val="18"/>
                <w:lang w:bidi="ar"/>
              </w:rPr>
              <w:t>贷款发放额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hint="eastAsia" w:ascii="宋体" w:hAnsi="宋体" w:eastAsia="宋体" w:cs="宋体"/>
                <w:color w:val="000000"/>
                <w:kern w:val="0"/>
                <w:sz w:val="18"/>
                <w:szCs w:val="18"/>
                <w:lang w:bidi="ar"/>
              </w:rPr>
              <w:t>月末余额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hint="eastAsia" w:ascii="宋体" w:hAnsi="宋体" w:eastAsia="宋体" w:cs="宋体"/>
                <w:color w:val="000000"/>
                <w:kern w:val="0"/>
                <w:sz w:val="18"/>
                <w:szCs w:val="18"/>
                <w:lang w:bidi="ar"/>
              </w:rPr>
              <w:t>贷款发放额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hint="eastAsia" w:ascii="宋体" w:hAnsi="宋体" w:eastAsia="宋体" w:cs="宋体"/>
                <w:color w:val="000000"/>
                <w:kern w:val="0"/>
                <w:sz w:val="18"/>
                <w:szCs w:val="18"/>
                <w:lang w:bidi="ar"/>
              </w:rPr>
              <w:t>月末余额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hint="eastAsia" w:ascii="宋体" w:hAnsi="宋体" w:eastAsia="宋体" w:cs="宋体"/>
                <w:color w:val="000000"/>
                <w:kern w:val="0"/>
                <w:sz w:val="18"/>
                <w:szCs w:val="18"/>
                <w:lang w:bidi="ar"/>
              </w:rPr>
              <w:t>贷款发放额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hint="eastAsia" w:ascii="宋体" w:hAnsi="宋体" w:eastAsia="宋体" w:cs="宋体"/>
                <w:color w:val="000000"/>
                <w:kern w:val="0"/>
                <w:sz w:val="18"/>
                <w:szCs w:val="18"/>
                <w:lang w:bidi="ar"/>
              </w:rPr>
              <w:t>月末余额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hint="eastAsia" w:ascii="宋体" w:hAnsi="宋体" w:eastAsia="宋体" w:cs="宋体"/>
                <w:color w:val="000000"/>
                <w:kern w:val="0"/>
                <w:sz w:val="18"/>
                <w:szCs w:val="18"/>
                <w:lang w:bidi="ar"/>
              </w:rPr>
              <w:t>贷款发放额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hint="eastAsia" w:ascii="宋体" w:hAnsi="宋体" w:eastAsia="宋体" w:cs="宋体"/>
                <w:color w:val="000000"/>
                <w:kern w:val="0"/>
                <w:sz w:val="18"/>
                <w:szCs w:val="18"/>
                <w:lang w:bidi="ar"/>
              </w:rPr>
              <w:t>月末余额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hint="eastAsia" w:ascii="宋体" w:hAnsi="宋体" w:eastAsia="宋体" w:cs="宋体"/>
                <w:color w:val="000000"/>
                <w:kern w:val="0"/>
                <w:sz w:val="18"/>
                <w:szCs w:val="18"/>
                <w:lang w:bidi="ar"/>
              </w:rPr>
              <w:t>贷款发放额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hint="eastAsia" w:ascii="宋体" w:hAnsi="宋体" w:eastAsia="宋体" w:cs="宋体"/>
                <w:color w:val="000000"/>
                <w:kern w:val="0"/>
                <w:sz w:val="18"/>
                <w:szCs w:val="18"/>
                <w:lang w:bidi="ar"/>
              </w:rPr>
              <w:t>月末余额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hint="eastAsia" w:ascii="宋体" w:hAnsi="宋体" w:eastAsia="宋体" w:cs="宋体"/>
                <w:color w:val="000000"/>
                <w:kern w:val="0"/>
                <w:sz w:val="18"/>
                <w:szCs w:val="18"/>
                <w:lang w:bidi="ar"/>
              </w:rPr>
              <w:t>贷款发放额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hint="eastAsia" w:ascii="宋体" w:hAnsi="宋体" w:eastAsia="宋体" w:cs="宋体"/>
                <w:color w:val="000000"/>
                <w:kern w:val="0"/>
                <w:sz w:val="18"/>
                <w:szCs w:val="18"/>
                <w:lang w:bidi="ar"/>
              </w:rPr>
              <w:t>月末余额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hint="eastAsia" w:ascii="宋体" w:hAnsi="宋体" w:eastAsia="宋体" w:cs="宋体"/>
                <w:color w:val="000000"/>
                <w:kern w:val="0"/>
                <w:sz w:val="18"/>
                <w:szCs w:val="18"/>
                <w:lang w:bidi="ar"/>
              </w:rPr>
              <w:t>贷款发放额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hint="eastAsia" w:ascii="宋体" w:hAnsi="宋体" w:eastAsia="宋体" w:cs="宋体"/>
                <w:color w:val="000000"/>
                <w:kern w:val="0"/>
                <w:sz w:val="18"/>
                <w:szCs w:val="18"/>
                <w:lang w:bidi="ar"/>
              </w:rPr>
              <w:t>月末余额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hint="eastAsia" w:ascii="宋体" w:hAnsi="宋体" w:eastAsia="宋体" w:cs="宋体"/>
                <w:color w:val="000000"/>
                <w:kern w:val="0"/>
                <w:sz w:val="18"/>
                <w:szCs w:val="18"/>
                <w:lang w:bidi="ar"/>
              </w:rPr>
              <w:t>贷款发放额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hint="eastAsia" w:ascii="宋体" w:hAnsi="宋体" w:eastAsia="宋体" w:cs="宋体"/>
                <w:color w:val="000000"/>
                <w:kern w:val="0"/>
                <w:sz w:val="18"/>
                <w:szCs w:val="18"/>
                <w:lang w:bidi="ar"/>
              </w:rPr>
              <w:t>月末余额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hint="eastAsia" w:ascii="宋体" w:hAnsi="宋体" w:eastAsia="宋体" w:cs="宋体"/>
                <w:color w:val="000000"/>
                <w:kern w:val="0"/>
                <w:sz w:val="18"/>
                <w:szCs w:val="18"/>
                <w:lang w:bidi="ar"/>
              </w:rPr>
              <w:t>贷款发放额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hint="eastAsia" w:ascii="宋体" w:hAnsi="宋体" w:eastAsia="宋体" w:cs="宋体"/>
                <w:color w:val="000000"/>
                <w:kern w:val="0"/>
                <w:sz w:val="18"/>
                <w:szCs w:val="18"/>
                <w:lang w:bidi="ar"/>
              </w:rPr>
              <w:t>月末余额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hint="eastAsia" w:ascii="宋体" w:hAnsi="宋体" w:eastAsia="宋体" w:cs="宋体"/>
                <w:color w:val="000000"/>
                <w:kern w:val="0"/>
                <w:sz w:val="18"/>
                <w:szCs w:val="18"/>
                <w:lang w:bidi="ar"/>
              </w:rPr>
              <w:t>贷款发放额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hint="eastAsia" w:ascii="宋体" w:hAnsi="宋体" w:eastAsia="宋体" w:cs="宋体"/>
                <w:color w:val="000000"/>
                <w:kern w:val="0"/>
                <w:sz w:val="18"/>
                <w:szCs w:val="18"/>
                <w:lang w:bidi="ar"/>
              </w:rPr>
              <w:t>月末余额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hint="eastAsia" w:ascii="宋体" w:hAnsi="宋体" w:eastAsia="宋体" w:cs="宋体"/>
                <w:color w:val="000000"/>
                <w:kern w:val="0"/>
                <w:sz w:val="18"/>
                <w:szCs w:val="18"/>
                <w:lang w:bidi="ar"/>
              </w:rPr>
              <w:t>贷款发放额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hint="eastAsia" w:ascii="宋体" w:hAnsi="宋体" w:eastAsia="宋体" w:cs="宋体"/>
                <w:color w:val="000000"/>
                <w:kern w:val="0"/>
                <w:sz w:val="18"/>
                <w:szCs w:val="18"/>
                <w:lang w:bidi="ar"/>
              </w:rPr>
              <w:t>月末余额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hint="eastAsia" w:ascii="宋体" w:hAnsi="宋体" w:eastAsia="宋体" w:cs="宋体"/>
                <w:color w:val="000000"/>
                <w:kern w:val="0"/>
                <w:sz w:val="18"/>
                <w:szCs w:val="18"/>
                <w:lang w:bidi="ar"/>
              </w:rPr>
              <w:t>贷款发放额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hint="eastAsia" w:ascii="宋体" w:hAnsi="宋体" w:eastAsia="宋体" w:cs="宋体"/>
                <w:color w:val="000000"/>
                <w:kern w:val="0"/>
                <w:sz w:val="18"/>
                <w:szCs w:val="18"/>
                <w:lang w:bidi="ar"/>
              </w:rPr>
              <w:t>月末余额</w:t>
            </w:r>
          </w:p>
        </w:tc>
      </w:tr>
      <w:tr>
        <w:tblPrEx>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经办银行小计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6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区县合计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559" w:hRule="atLeast"/>
        </w:trPr>
        <w:tc>
          <w:tcPr>
            <w:tcW w:w="0" w:type="auto"/>
            <w:tcBorders>
              <w:top w:val="nil"/>
              <w:left w:val="single" w:color="000000" w:sz="4" w:space="0"/>
              <w:bottom w:val="nil"/>
              <w:right w:val="single" w:color="000000" w:sz="4" w:space="0"/>
            </w:tcBorders>
            <w:shd w:val="clear" w:color="auto" w:fill="auto"/>
            <w:noWrap/>
            <w:vAlign w:val="bottom"/>
          </w:tcPr>
          <w:p>
            <w:pPr>
              <w:widowControl/>
              <w:jc w:val="left"/>
              <w:textAlignment w:val="bottom"/>
              <w:rPr>
                <w:rFonts w:ascii="Times New Roman" w:hAnsi="Times New Roman" w:eastAsia="宋体" w:cs="Times New Roman"/>
                <w:color w:val="000000"/>
                <w:sz w:val="22"/>
                <w:szCs w:val="22"/>
              </w:rPr>
            </w:pPr>
            <w:r>
              <w:rPr>
                <w:rStyle w:val="33"/>
                <w:rFonts w:hint="default"/>
                <w:lang w:bidi="ar"/>
              </w:rPr>
              <w:t>注：</w:t>
            </w:r>
            <w:r>
              <w:rPr>
                <w:rFonts w:ascii="Times New Roman" w:hAnsi="Times New Roman" w:eastAsia="宋体" w:cs="Times New Roman"/>
                <w:color w:val="000000"/>
                <w:kern w:val="0"/>
                <w:sz w:val="22"/>
                <w:szCs w:val="22"/>
                <w:lang w:bidi="ar"/>
              </w:rPr>
              <w:t>1.</w:t>
            </w:r>
            <w:r>
              <w:rPr>
                <w:rStyle w:val="33"/>
                <w:rFonts w:hint="default"/>
                <w:lang w:bidi="ar"/>
              </w:rPr>
              <w:t>本表仅需电子版。</w:t>
            </w:r>
            <w:r>
              <w:rPr>
                <w:rFonts w:ascii="Times New Roman" w:hAnsi="Times New Roman" w:eastAsia="宋体" w:cs="Times New Roman"/>
                <w:color w:val="000000"/>
                <w:kern w:val="0"/>
                <w:sz w:val="22"/>
                <w:szCs w:val="22"/>
                <w:lang w:bidi="ar"/>
              </w:rPr>
              <w:t>2.</w:t>
            </w:r>
            <w:r>
              <w:rPr>
                <w:rStyle w:val="33"/>
                <w:rFonts w:hint="default"/>
                <w:lang w:bidi="ar"/>
              </w:rPr>
              <w:t>月末余额填写符合补贴条件余额</w:t>
            </w: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vAlign w:val="bottom"/>
          </w:tcPr>
          <w:p>
            <w:pPr>
              <w:rPr>
                <w:rFonts w:ascii="Times New Roman" w:hAnsi="Times New Roman" w:eastAsia="宋体" w:cs="Times New Roman"/>
                <w:color w:val="000000"/>
                <w:sz w:val="22"/>
                <w:szCs w:val="22"/>
              </w:rPr>
            </w:pPr>
          </w:p>
        </w:tc>
      </w:tr>
    </w:tbl>
    <w:p>
      <w:pPr>
        <w:spacing w:line="578" w:lineRule="exact"/>
        <w:rPr>
          <w:rFonts w:ascii="方正仿宋_GBK" w:hAnsi="方正仿宋_GBK" w:eastAsia="方正仿宋_GBK" w:cs="方正仿宋_GBK"/>
          <w:sz w:val="32"/>
          <w:szCs w:val="32"/>
        </w:rPr>
      </w:pPr>
    </w:p>
    <w:p>
      <w:pPr>
        <w:spacing w:line="578" w:lineRule="exact"/>
        <w:rPr>
          <w:rFonts w:ascii="方正仿宋_GBK" w:hAnsi="方正仿宋_GBK" w:eastAsia="方正仿宋_GBK" w:cs="方正仿宋_GBK"/>
          <w:sz w:val="32"/>
          <w:szCs w:val="32"/>
        </w:rPr>
      </w:pPr>
    </w:p>
    <w:p>
      <w:pPr>
        <w:spacing w:line="578" w:lineRule="exact"/>
        <w:rPr>
          <w:rFonts w:ascii="方正仿宋_GBK" w:hAnsi="方正仿宋_GBK" w:eastAsia="方正仿宋_GBK" w:cs="方正仿宋_GBK"/>
          <w:sz w:val="32"/>
          <w:szCs w:val="32"/>
        </w:rPr>
      </w:pPr>
    </w:p>
    <w:tbl>
      <w:tblPr>
        <w:tblStyle w:val="8"/>
        <w:tblW w:w="0" w:type="auto"/>
        <w:tblInd w:w="93" w:type="dxa"/>
        <w:tblLayout w:type="autofit"/>
        <w:tblCellMar>
          <w:top w:w="0" w:type="dxa"/>
          <w:left w:w="108" w:type="dxa"/>
          <w:bottom w:w="0" w:type="dxa"/>
          <w:right w:w="108" w:type="dxa"/>
        </w:tblCellMar>
      </w:tblPr>
      <w:tblGrid>
        <w:gridCol w:w="1416"/>
        <w:gridCol w:w="1713"/>
        <w:gridCol w:w="2703"/>
        <w:gridCol w:w="1522"/>
        <w:gridCol w:w="1251"/>
        <w:gridCol w:w="581"/>
        <w:gridCol w:w="995"/>
        <w:gridCol w:w="2856"/>
      </w:tblGrid>
      <w:tr>
        <w:tblPrEx>
          <w:tblCellMar>
            <w:top w:w="0" w:type="dxa"/>
            <w:left w:w="108" w:type="dxa"/>
            <w:bottom w:w="0" w:type="dxa"/>
            <w:right w:w="108" w:type="dxa"/>
          </w:tblCellMar>
        </w:tblPrEx>
        <w:trPr>
          <w:trHeight w:val="499" w:hRule="atLeast"/>
        </w:trPr>
        <w:tc>
          <w:tcPr>
            <w:tcW w:w="0" w:type="auto"/>
            <w:tcBorders>
              <w:top w:val="nil"/>
              <w:left w:val="nil"/>
              <w:bottom w:val="nil"/>
              <w:right w:val="nil"/>
            </w:tcBorders>
            <w:shd w:val="clear" w:color="auto" w:fill="auto"/>
            <w:noWrap/>
            <w:vAlign w:val="center"/>
          </w:tcPr>
          <w:p>
            <w:pPr>
              <w:widowControl/>
              <w:jc w:val="left"/>
              <w:textAlignment w:val="center"/>
              <w:rPr>
                <w:rFonts w:ascii="黑体" w:hAnsi="宋体" w:eastAsia="黑体" w:cs="黑体"/>
                <w:color w:val="000000"/>
                <w:sz w:val="24"/>
              </w:rPr>
            </w:pPr>
            <w:r>
              <w:rPr>
                <w:rFonts w:hint="eastAsia" w:ascii="黑体" w:hAnsi="宋体" w:eastAsia="黑体" w:cs="黑体"/>
                <w:color w:val="000000"/>
                <w:kern w:val="0"/>
                <w:sz w:val="24"/>
                <w:lang w:bidi="ar"/>
              </w:rPr>
              <w:t>附件</w:t>
            </w:r>
            <w:r>
              <w:rPr>
                <w:rFonts w:ascii="Times New Roman" w:hAnsi="Times New Roman" w:eastAsia="黑体" w:cs="Times New Roman"/>
                <w:color w:val="000000"/>
                <w:kern w:val="0"/>
                <w:sz w:val="24"/>
                <w:lang w:bidi="ar"/>
              </w:rPr>
              <w:t>1-3</w:t>
            </w:r>
          </w:p>
        </w:tc>
        <w:tc>
          <w:tcPr>
            <w:tcW w:w="0" w:type="auto"/>
            <w:tcBorders>
              <w:top w:val="nil"/>
              <w:left w:val="nil"/>
              <w:bottom w:val="nil"/>
              <w:right w:val="nil"/>
            </w:tcBorders>
            <w:shd w:val="clear" w:color="auto" w:fill="auto"/>
            <w:noWrap/>
            <w:vAlign w:val="center"/>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noWrap/>
            <w:vAlign w:val="center"/>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noWrap/>
            <w:vAlign w:val="center"/>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noWrap/>
            <w:vAlign w:val="center"/>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noWrap/>
            <w:vAlign w:val="center"/>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noWrap/>
            <w:vAlign w:val="center"/>
          </w:tcPr>
          <w:p>
            <w:pPr>
              <w:rPr>
                <w:rFonts w:ascii="Times New Roman" w:hAnsi="Times New Roman" w:eastAsia="宋体" w:cs="Times New Roman"/>
                <w:color w:val="000000"/>
                <w:sz w:val="22"/>
                <w:szCs w:val="22"/>
              </w:rPr>
            </w:pPr>
          </w:p>
        </w:tc>
        <w:tc>
          <w:tcPr>
            <w:tcW w:w="0" w:type="auto"/>
            <w:tcBorders>
              <w:top w:val="nil"/>
              <w:left w:val="nil"/>
              <w:bottom w:val="nil"/>
              <w:right w:val="nil"/>
            </w:tcBorders>
            <w:shd w:val="clear" w:color="auto" w:fill="auto"/>
            <w:noWrap/>
            <w:vAlign w:val="center"/>
          </w:tcPr>
          <w:p>
            <w:pP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900" w:hRule="atLeast"/>
        </w:trPr>
        <w:tc>
          <w:tcPr>
            <w:tcW w:w="0" w:type="auto"/>
            <w:gridSpan w:val="8"/>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color w:val="000000"/>
                <w:sz w:val="32"/>
                <w:szCs w:val="32"/>
                <w:u w:val="single"/>
              </w:rPr>
            </w:pPr>
            <w:r>
              <w:rPr>
                <w:rFonts w:ascii="Times New Roman" w:hAnsi="Times New Roman" w:eastAsia="宋体" w:cs="Times New Roman"/>
                <w:color w:val="000000"/>
                <w:kern w:val="0"/>
                <w:sz w:val="32"/>
                <w:szCs w:val="32"/>
                <w:u w:val="single"/>
                <w:lang w:bidi="ar"/>
              </w:rPr>
              <w:t xml:space="preserve">       </w:t>
            </w:r>
            <w:r>
              <w:rPr>
                <w:rFonts w:ascii="方正小标宋_GBK" w:hAnsi="方正小标宋_GBK" w:eastAsia="方正小标宋_GBK" w:cs="方正小标宋_GBK"/>
                <w:color w:val="000000"/>
                <w:kern w:val="0"/>
                <w:sz w:val="32"/>
                <w:szCs w:val="32"/>
                <w:u w:val="single"/>
                <w:lang w:bidi="ar"/>
              </w:rPr>
              <w:t>年农村金融机构定向费用奖补资金申请详情表</w:t>
            </w:r>
          </w:p>
        </w:tc>
      </w:tr>
      <w:tr>
        <w:tblPrEx>
          <w:tblCellMar>
            <w:top w:w="0" w:type="dxa"/>
            <w:left w:w="108" w:type="dxa"/>
            <w:bottom w:w="0" w:type="dxa"/>
            <w:right w:w="108" w:type="dxa"/>
          </w:tblCellMar>
        </w:tblPrEx>
        <w:trPr>
          <w:trHeight w:val="525" w:hRule="atLeast"/>
        </w:trPr>
        <w:tc>
          <w:tcPr>
            <w:tcW w:w="0" w:type="auto"/>
            <w:tcBorders>
              <w:top w:val="nil"/>
              <w:left w:val="nil"/>
              <w:bottom w:val="nil"/>
              <w:right w:val="nil"/>
            </w:tcBorders>
            <w:shd w:val="clear" w:color="auto" w:fill="auto"/>
            <w:noWrap/>
            <w:vAlign w:val="center"/>
          </w:tcPr>
          <w:p>
            <w:pPr>
              <w:widowControl/>
              <w:jc w:val="left"/>
              <w:textAlignment w:val="center"/>
              <w:rPr>
                <w:rFonts w:ascii="Times New Roman" w:hAnsi="Times New Roman" w:eastAsia="宋体" w:cs="Times New Roman"/>
                <w:color w:val="000000"/>
                <w:sz w:val="24"/>
              </w:rPr>
            </w:pPr>
            <w:r>
              <w:rPr>
                <w:rStyle w:val="34"/>
                <w:rFonts w:hint="default"/>
                <w:lang w:bidi="ar"/>
              </w:rPr>
              <w:t>填报单位：</w:t>
            </w:r>
            <w:r>
              <w:rPr>
                <w:rFonts w:ascii="Times New Roman" w:hAnsi="Times New Roman" w:eastAsia="宋体" w:cs="Times New Roman"/>
                <w:color w:val="000000"/>
                <w:kern w:val="0"/>
                <w:sz w:val="24"/>
                <w:u w:val="single"/>
                <w:lang w:bidi="ar"/>
              </w:rPr>
              <w:t xml:space="preserve">                        </w:t>
            </w:r>
          </w:p>
        </w:tc>
        <w:tc>
          <w:tcPr>
            <w:tcW w:w="0" w:type="auto"/>
            <w:tcBorders>
              <w:top w:val="nil"/>
              <w:left w:val="nil"/>
              <w:bottom w:val="nil"/>
              <w:right w:val="nil"/>
            </w:tcBorders>
            <w:shd w:val="clear" w:color="auto" w:fill="auto"/>
            <w:noWrap/>
            <w:vAlign w:val="center"/>
          </w:tcPr>
          <w:p>
            <w:pPr>
              <w:rPr>
                <w:rFonts w:ascii="Times New Roman" w:hAnsi="Times New Roman" w:eastAsia="宋体" w:cs="Times New Roman"/>
                <w:color w:val="000000"/>
                <w:sz w:val="24"/>
              </w:rPr>
            </w:pPr>
          </w:p>
        </w:tc>
        <w:tc>
          <w:tcPr>
            <w:tcW w:w="0" w:type="auto"/>
            <w:tcBorders>
              <w:top w:val="nil"/>
              <w:left w:val="nil"/>
              <w:bottom w:val="nil"/>
              <w:right w:val="nil"/>
            </w:tcBorders>
            <w:shd w:val="clear" w:color="auto" w:fill="auto"/>
            <w:noWrap/>
            <w:vAlign w:val="center"/>
          </w:tcPr>
          <w:p>
            <w:pPr>
              <w:rPr>
                <w:rFonts w:ascii="Times New Roman" w:hAnsi="Times New Roman" w:eastAsia="宋体" w:cs="Times New Roman"/>
                <w:color w:val="000000"/>
                <w:sz w:val="24"/>
              </w:rPr>
            </w:pPr>
          </w:p>
        </w:tc>
        <w:tc>
          <w:tcPr>
            <w:tcW w:w="0" w:type="auto"/>
            <w:tcBorders>
              <w:top w:val="nil"/>
              <w:left w:val="nil"/>
              <w:bottom w:val="nil"/>
              <w:right w:val="nil"/>
            </w:tcBorders>
            <w:shd w:val="clear" w:color="auto" w:fill="auto"/>
            <w:noWrap/>
            <w:vAlign w:val="center"/>
          </w:tcPr>
          <w:p>
            <w:pPr>
              <w:rPr>
                <w:rFonts w:ascii="Times New Roman" w:hAnsi="Times New Roman" w:eastAsia="宋体" w:cs="Times New Roman"/>
                <w:color w:val="000000"/>
                <w:sz w:val="24"/>
              </w:rPr>
            </w:pPr>
          </w:p>
        </w:tc>
        <w:tc>
          <w:tcPr>
            <w:tcW w:w="0" w:type="auto"/>
            <w:tcBorders>
              <w:top w:val="nil"/>
              <w:left w:val="nil"/>
              <w:bottom w:val="nil"/>
              <w:right w:val="nil"/>
            </w:tcBorders>
            <w:shd w:val="clear" w:color="auto" w:fill="auto"/>
            <w:noWrap/>
            <w:vAlign w:val="center"/>
          </w:tcPr>
          <w:p>
            <w:pPr>
              <w:rPr>
                <w:rFonts w:ascii="Times New Roman" w:hAnsi="Times New Roman" w:eastAsia="宋体" w:cs="Times New Roman"/>
                <w:color w:val="000000"/>
                <w:sz w:val="24"/>
              </w:rPr>
            </w:pPr>
          </w:p>
        </w:tc>
        <w:tc>
          <w:tcPr>
            <w:tcW w:w="0" w:type="auto"/>
            <w:tcBorders>
              <w:top w:val="nil"/>
              <w:left w:val="nil"/>
              <w:bottom w:val="nil"/>
              <w:right w:val="nil"/>
            </w:tcBorders>
            <w:shd w:val="clear" w:color="auto" w:fill="auto"/>
            <w:noWrap/>
            <w:vAlign w:val="center"/>
          </w:tcPr>
          <w:p>
            <w:pPr>
              <w:rPr>
                <w:rFonts w:ascii="Times New Roman" w:hAnsi="Times New Roman" w:eastAsia="宋体" w:cs="Times New Roman"/>
                <w:color w:val="000000"/>
                <w:sz w:val="24"/>
              </w:rPr>
            </w:pPr>
          </w:p>
        </w:tc>
        <w:tc>
          <w:tcPr>
            <w:tcW w:w="0" w:type="auto"/>
            <w:tcBorders>
              <w:top w:val="nil"/>
              <w:left w:val="nil"/>
              <w:bottom w:val="nil"/>
              <w:right w:val="nil"/>
            </w:tcBorders>
            <w:shd w:val="clear" w:color="auto" w:fill="auto"/>
            <w:noWrap/>
            <w:vAlign w:val="center"/>
          </w:tcPr>
          <w:p>
            <w:pPr>
              <w:jc w:val="right"/>
              <w:rPr>
                <w:rFonts w:ascii="Times New Roman" w:hAnsi="Times New Roman" w:eastAsia="宋体" w:cs="Times New Roman"/>
                <w:color w:val="000000"/>
                <w:sz w:val="24"/>
              </w:rPr>
            </w:pPr>
          </w:p>
        </w:tc>
        <w:tc>
          <w:tcPr>
            <w:tcW w:w="0" w:type="auto"/>
            <w:tcBorders>
              <w:top w:val="nil"/>
              <w:left w:val="nil"/>
              <w:bottom w:val="nil"/>
              <w:right w:val="nil"/>
            </w:tcBorders>
            <w:shd w:val="clear" w:color="auto" w:fill="auto"/>
            <w:noWrap/>
            <w:vAlign w:val="center"/>
          </w:tcPr>
          <w:p>
            <w:pPr>
              <w:widowControl/>
              <w:jc w:val="righ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单位：万元，家，笔，元</w:t>
            </w:r>
          </w:p>
        </w:tc>
      </w:tr>
      <w:tr>
        <w:tblPrEx>
          <w:tblCellMar>
            <w:top w:w="0" w:type="dxa"/>
            <w:left w:w="108" w:type="dxa"/>
            <w:bottom w:w="0" w:type="dxa"/>
            <w:right w:w="108" w:type="dxa"/>
          </w:tblCellMar>
        </w:tblPrEx>
        <w:trPr>
          <w:trHeight w:val="499"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b/>
                <w:bCs/>
                <w:color w:val="000000"/>
                <w:sz w:val="24"/>
              </w:rPr>
            </w:pPr>
            <w:r>
              <w:rPr>
                <w:rStyle w:val="35"/>
                <w:rFonts w:hint="default"/>
                <w:lang w:bidi="ar"/>
              </w:rPr>
              <w:t>一、分行政区统计</w:t>
            </w:r>
          </w:p>
        </w:tc>
      </w:tr>
      <w:tr>
        <w:tblPrEx>
          <w:tblCellMar>
            <w:top w:w="0" w:type="dxa"/>
            <w:left w:w="108" w:type="dxa"/>
            <w:bottom w:w="0" w:type="dxa"/>
            <w:right w:w="108" w:type="dxa"/>
          </w:tblCellMar>
        </w:tblPrEx>
        <w:trPr>
          <w:trHeight w:val="73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bdr w:val="single" w:color="000000" w:sz="4" w:space="0"/>
              </w:rPr>
              <w:drawing>
                <wp:anchor distT="0" distB="0" distL="114300" distR="114300" simplePos="0" relativeHeight="251664384" behindDoc="0" locked="0" layoutInCell="1" allowOverlap="1">
                  <wp:simplePos x="0" y="0"/>
                  <wp:positionH relativeFrom="column">
                    <wp:posOffset>261620</wp:posOffset>
                  </wp:positionH>
                  <wp:positionV relativeFrom="paragraph">
                    <wp:posOffset>134620</wp:posOffset>
                  </wp:positionV>
                  <wp:extent cx="530225" cy="295910"/>
                  <wp:effectExtent l="0" t="0" r="3175" b="8890"/>
                  <wp:wrapNone/>
                  <wp:docPr id="70" name="文本框_4"/>
                  <wp:cNvGraphicFramePr/>
                  <a:graphic xmlns:a="http://schemas.openxmlformats.org/drawingml/2006/main">
                    <a:graphicData uri="http://schemas.openxmlformats.org/drawingml/2006/picture">
                      <pic:pic xmlns:pic="http://schemas.openxmlformats.org/drawingml/2006/picture">
                        <pic:nvPicPr>
                          <pic:cNvPr id="70" name="文本框_4"/>
                          <pic:cNvPicPr/>
                        </pic:nvPicPr>
                        <pic:blipFill>
                          <a:blip r:embed="rId19"/>
                          <a:stretch>
                            <a:fillRect/>
                          </a:stretch>
                        </pic:blipFill>
                        <pic:spPr>
                          <a:xfrm>
                            <a:off x="0" y="0"/>
                            <a:ext cx="530225" cy="295910"/>
                          </a:xfrm>
                          <a:prstGeom prst="rect">
                            <a:avLst/>
                          </a:prstGeom>
                          <a:noFill/>
                          <a:ln>
                            <a:noFill/>
                          </a:ln>
                        </pic:spPr>
                      </pic:pic>
                    </a:graphicData>
                  </a:graphic>
                </wp:anchor>
              </w:drawing>
            </w:r>
            <w:r>
              <w:rPr>
                <w:rFonts w:ascii="Times New Roman" w:hAnsi="Times New Roman" w:eastAsia="宋体" w:cs="Times New Roman"/>
                <w:color w:val="000000"/>
                <w:kern w:val="0"/>
                <w:sz w:val="24"/>
                <w:bdr w:val="single" w:color="000000" w:sz="4" w:space="0"/>
              </w:rPr>
              <w:drawing>
                <wp:anchor distT="0" distB="0" distL="114300" distR="114300" simplePos="0" relativeHeight="251665408" behindDoc="0" locked="0" layoutInCell="1" allowOverlap="1">
                  <wp:simplePos x="0" y="0"/>
                  <wp:positionH relativeFrom="column">
                    <wp:posOffset>-56515</wp:posOffset>
                  </wp:positionH>
                  <wp:positionV relativeFrom="paragraph">
                    <wp:posOffset>1107440</wp:posOffset>
                  </wp:positionV>
                  <wp:extent cx="548005" cy="469265"/>
                  <wp:effectExtent l="0" t="0" r="4445" b="6985"/>
                  <wp:wrapNone/>
                  <wp:docPr id="71" name="文本框_3"/>
                  <wp:cNvGraphicFramePr/>
                  <a:graphic xmlns:a="http://schemas.openxmlformats.org/drawingml/2006/main">
                    <a:graphicData uri="http://schemas.openxmlformats.org/drawingml/2006/picture">
                      <pic:pic xmlns:pic="http://schemas.openxmlformats.org/drawingml/2006/picture">
                        <pic:nvPicPr>
                          <pic:cNvPr id="71" name="文本框_3"/>
                          <pic:cNvPicPr/>
                        </pic:nvPicPr>
                        <pic:blipFill>
                          <a:blip r:embed="rId20"/>
                          <a:stretch>
                            <a:fillRect/>
                          </a:stretch>
                        </pic:blipFill>
                        <pic:spPr>
                          <a:xfrm>
                            <a:off x="0" y="0"/>
                            <a:ext cx="548005" cy="469265"/>
                          </a:xfrm>
                          <a:prstGeom prst="rect">
                            <a:avLst/>
                          </a:prstGeom>
                          <a:noFill/>
                          <a:ln>
                            <a:noFill/>
                          </a:ln>
                        </pic:spPr>
                      </pic:pic>
                    </a:graphicData>
                  </a:graphic>
                </wp:anchor>
              </w:drawing>
            </w:r>
            <w:r>
              <w:rPr>
                <w:rFonts w:ascii="Times New Roman" w:hAnsi="Times New Roman" w:eastAsia="宋体" w:cs="Times New Roman"/>
                <w:color w:val="000000"/>
                <w:kern w:val="0"/>
                <w:sz w:val="24"/>
                <w:bdr w:val="single" w:color="000000" w:sz="4" w:space="0"/>
              </w:rPr>
              <w:drawing>
                <wp:anchor distT="0" distB="0" distL="114300" distR="114300" simplePos="0" relativeHeight="251666432" behindDoc="0" locked="0" layoutInCell="1" allowOverlap="1">
                  <wp:simplePos x="0" y="0"/>
                  <wp:positionH relativeFrom="column">
                    <wp:posOffset>10160</wp:posOffset>
                  </wp:positionH>
                  <wp:positionV relativeFrom="paragraph">
                    <wp:posOffset>18415</wp:posOffset>
                  </wp:positionV>
                  <wp:extent cx="737870" cy="1517650"/>
                  <wp:effectExtent l="0" t="0" r="5080" b="6350"/>
                  <wp:wrapNone/>
                  <wp:docPr id="72" name="直接连接符_2"/>
                  <wp:cNvGraphicFramePr/>
                  <a:graphic xmlns:a="http://schemas.openxmlformats.org/drawingml/2006/main">
                    <a:graphicData uri="http://schemas.openxmlformats.org/drawingml/2006/picture">
                      <pic:pic xmlns:pic="http://schemas.openxmlformats.org/drawingml/2006/picture">
                        <pic:nvPicPr>
                          <pic:cNvPr id="72" name="直接连接符_2"/>
                          <pic:cNvPicPr/>
                        </pic:nvPicPr>
                        <pic:blipFill>
                          <a:blip r:embed="rId21"/>
                          <a:stretch>
                            <a:fillRect/>
                          </a:stretch>
                        </pic:blipFill>
                        <pic:spPr>
                          <a:xfrm>
                            <a:off x="0" y="0"/>
                            <a:ext cx="737870" cy="1517650"/>
                          </a:xfrm>
                          <a:prstGeom prst="rect">
                            <a:avLst/>
                          </a:prstGeom>
                          <a:noFill/>
                          <a:ln>
                            <a:noFill/>
                          </a:ln>
                        </pic:spPr>
                      </pic:pic>
                    </a:graphicData>
                  </a:graphic>
                </wp:anchor>
              </w:drawing>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4"/>
                <w:u w:val="single"/>
              </w:rPr>
            </w:pPr>
            <w:r>
              <w:rPr>
                <w:rFonts w:ascii="Times New Roman" w:hAnsi="Times New Roman" w:eastAsia="宋体" w:cs="Times New Roman"/>
                <w:color w:val="000000"/>
                <w:kern w:val="0"/>
                <w:sz w:val="24"/>
                <w:u w:val="single"/>
                <w:lang w:bidi="ar"/>
              </w:rPr>
              <w:t xml:space="preserve">         </w:t>
            </w:r>
            <w:r>
              <w:rPr>
                <w:rStyle w:val="34"/>
                <w:rFonts w:hint="default"/>
                <w:u w:val="single"/>
                <w:lang w:bidi="ar"/>
              </w:rPr>
              <w:t>年农户小额信用贷款平均余额</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可予补贴的机构家数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34"/>
                <w:rFonts w:hint="default"/>
                <w:lang w:bidi="ar"/>
              </w:rPr>
              <w:t>可予补贴的</w:t>
            </w:r>
            <w:r>
              <w:rPr>
                <w:rFonts w:ascii="Times New Roman" w:hAnsi="Times New Roman" w:eastAsia="宋体" w:cs="Times New Roman"/>
                <w:color w:val="000000"/>
                <w:kern w:val="0"/>
                <w:sz w:val="24"/>
                <w:lang w:bidi="ar"/>
              </w:rPr>
              <w:br w:type="textWrapping"/>
            </w:r>
            <w:r>
              <w:rPr>
                <w:rStyle w:val="34"/>
                <w:rFonts w:hint="default"/>
                <w:lang w:bidi="ar"/>
              </w:rPr>
              <w:t>农户小额信用贷款余额</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34"/>
                <w:rFonts w:hint="default"/>
                <w:lang w:bidi="ar"/>
              </w:rPr>
              <w:t>上年结余</w:t>
            </w:r>
            <w:r>
              <w:rPr>
                <w:rFonts w:ascii="Times New Roman" w:hAnsi="Times New Roman" w:eastAsia="宋体" w:cs="Times New Roman"/>
                <w:color w:val="000000"/>
                <w:kern w:val="0"/>
                <w:sz w:val="24"/>
                <w:lang w:bidi="ar"/>
              </w:rPr>
              <w:br w:type="textWrapping"/>
            </w:r>
            <w:r>
              <w:rPr>
                <w:rStyle w:val="34"/>
                <w:rFonts w:hint="default"/>
                <w:lang w:bidi="ar"/>
              </w:rPr>
              <w:t>奖补资金</w:t>
            </w:r>
          </w:p>
        </w:tc>
        <w:tc>
          <w:tcPr>
            <w:tcW w:w="0" w:type="auto"/>
            <w:tcBorders>
              <w:top w:val="single" w:color="000000" w:sz="4" w:space="0"/>
              <w:left w:val="single" w:color="000000" w:sz="4" w:space="0"/>
              <w:bottom w:val="nil"/>
              <w:right w:val="nil"/>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____</w:t>
            </w:r>
            <w:r>
              <w:rPr>
                <w:rStyle w:val="34"/>
                <w:rFonts w:hint="default"/>
                <w:lang w:bidi="ar"/>
              </w:rPr>
              <w:t>年奖补资金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备注</w:t>
            </w:r>
          </w:p>
        </w:tc>
      </w:tr>
      <w:tr>
        <w:tblPrEx>
          <w:tblCellMar>
            <w:top w:w="0" w:type="dxa"/>
            <w:left w:w="108" w:type="dxa"/>
            <w:bottom w:w="0" w:type="dxa"/>
            <w:right w:w="108" w:type="dxa"/>
          </w:tblCellMar>
        </w:tblPrEx>
        <w:trPr>
          <w:trHeight w:val="7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平均余额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4"/>
              </w:rPr>
            </w:pPr>
            <w:r>
              <w:rPr>
                <w:rStyle w:val="34"/>
                <w:rFonts w:hint="default"/>
                <w:lang w:bidi="ar"/>
              </w:rPr>
              <w:t>同比变动（</w:t>
            </w:r>
            <w:r>
              <w:rPr>
                <w:rFonts w:ascii="Times New Roman" w:hAnsi="Times New Roman" w:eastAsia="宋体" w:cs="Times New Roman"/>
                <w:color w:val="000000"/>
                <w:kern w:val="0"/>
                <w:sz w:val="24"/>
                <w:lang w:bidi="ar"/>
              </w:rPr>
              <w:t>%</w:t>
            </w:r>
            <w:r>
              <w:rPr>
                <w:rStyle w:val="34"/>
                <w:rFonts w:hint="default"/>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小计</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r>
      <w:tr>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r>
      <w:tr>
        <w:tblPrEx>
          <w:tblCellMar>
            <w:top w:w="0" w:type="dxa"/>
            <w:left w:w="108" w:type="dxa"/>
            <w:bottom w:w="0" w:type="dxa"/>
            <w:right w:w="108" w:type="dxa"/>
          </w:tblCellMar>
        </w:tblPrEx>
        <w:trPr>
          <w:trHeight w:val="499" w:hRule="atLeast"/>
        </w:trPr>
        <w:tc>
          <w:tcPr>
            <w:tcW w:w="0" w:type="auto"/>
            <w:gridSpan w:val="7"/>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Times New Roman" w:hAnsi="Times New Roman" w:eastAsia="宋体" w:cs="Times New Roman"/>
                <w:b/>
                <w:bCs/>
                <w:color w:val="000000"/>
                <w:sz w:val="24"/>
              </w:rPr>
            </w:pPr>
            <w:r>
              <w:rPr>
                <w:rStyle w:val="35"/>
                <w:rFonts w:hint="default"/>
                <w:lang w:bidi="ar"/>
              </w:rPr>
              <w:t>二、分机构统计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4"/>
              </w:rPr>
            </w:pPr>
          </w:p>
        </w:tc>
      </w:tr>
      <w:tr>
        <w:tblPrEx>
          <w:tblCellMar>
            <w:top w:w="0" w:type="dxa"/>
            <w:left w:w="108" w:type="dxa"/>
            <w:bottom w:w="0" w:type="dxa"/>
            <w:right w:w="108" w:type="dxa"/>
          </w:tblCellMar>
        </w:tblPrEx>
        <w:trPr>
          <w:trHeight w:val="79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bdr w:val="single" w:color="000000" w:sz="4" w:space="0"/>
              </w:rPr>
              <w:drawing>
                <wp:anchor distT="0" distB="0" distL="114300" distR="114300" simplePos="0" relativeHeight="251667456" behindDoc="0" locked="0" layoutInCell="1" allowOverlap="1">
                  <wp:simplePos x="0" y="0"/>
                  <wp:positionH relativeFrom="column">
                    <wp:posOffset>274955</wp:posOffset>
                  </wp:positionH>
                  <wp:positionV relativeFrom="paragraph">
                    <wp:posOffset>50165</wp:posOffset>
                  </wp:positionV>
                  <wp:extent cx="513080" cy="360045"/>
                  <wp:effectExtent l="0" t="0" r="1270" b="1905"/>
                  <wp:wrapNone/>
                  <wp:docPr id="6" name="文本框_6"/>
                  <wp:cNvGraphicFramePr/>
                  <a:graphic xmlns:a="http://schemas.openxmlformats.org/drawingml/2006/main">
                    <a:graphicData uri="http://schemas.openxmlformats.org/drawingml/2006/picture">
                      <pic:pic xmlns:pic="http://schemas.openxmlformats.org/drawingml/2006/picture">
                        <pic:nvPicPr>
                          <pic:cNvPr id="6" name="文本框_6"/>
                          <pic:cNvPicPr/>
                        </pic:nvPicPr>
                        <pic:blipFill>
                          <a:blip r:embed="rId22"/>
                          <a:stretch>
                            <a:fillRect/>
                          </a:stretch>
                        </pic:blipFill>
                        <pic:spPr>
                          <a:xfrm>
                            <a:off x="0" y="0"/>
                            <a:ext cx="513080" cy="360045"/>
                          </a:xfrm>
                          <a:prstGeom prst="rect">
                            <a:avLst/>
                          </a:prstGeom>
                          <a:noFill/>
                          <a:ln>
                            <a:noFill/>
                          </a:ln>
                        </pic:spPr>
                      </pic:pic>
                    </a:graphicData>
                  </a:graphic>
                </wp:anchor>
              </w:drawing>
            </w:r>
            <w:r>
              <w:rPr>
                <w:rFonts w:ascii="Times New Roman" w:hAnsi="Times New Roman" w:eastAsia="宋体" w:cs="Times New Roman"/>
                <w:color w:val="000000"/>
                <w:kern w:val="0"/>
                <w:sz w:val="24"/>
                <w:bdr w:val="single" w:color="000000" w:sz="4" w:space="0"/>
              </w:rPr>
              <w:drawing>
                <wp:anchor distT="0" distB="0" distL="114300" distR="114300" simplePos="0" relativeHeight="251668480" behindDoc="0" locked="0" layoutInCell="1" allowOverlap="1">
                  <wp:simplePos x="0" y="0"/>
                  <wp:positionH relativeFrom="column">
                    <wp:posOffset>-24130</wp:posOffset>
                  </wp:positionH>
                  <wp:positionV relativeFrom="paragraph">
                    <wp:posOffset>1046480</wp:posOffset>
                  </wp:positionV>
                  <wp:extent cx="538480" cy="462915"/>
                  <wp:effectExtent l="0" t="0" r="13970" b="13335"/>
                  <wp:wrapNone/>
                  <wp:docPr id="73" name="文本框_5"/>
                  <wp:cNvGraphicFramePr/>
                  <a:graphic xmlns:a="http://schemas.openxmlformats.org/drawingml/2006/main">
                    <a:graphicData uri="http://schemas.openxmlformats.org/drawingml/2006/picture">
                      <pic:pic xmlns:pic="http://schemas.openxmlformats.org/drawingml/2006/picture">
                        <pic:nvPicPr>
                          <pic:cNvPr id="73" name="文本框_5"/>
                          <pic:cNvPicPr/>
                        </pic:nvPicPr>
                        <pic:blipFill>
                          <a:blip r:embed="rId23"/>
                          <a:stretch>
                            <a:fillRect/>
                          </a:stretch>
                        </pic:blipFill>
                        <pic:spPr>
                          <a:xfrm>
                            <a:off x="0" y="0"/>
                            <a:ext cx="538480" cy="462915"/>
                          </a:xfrm>
                          <a:prstGeom prst="rect">
                            <a:avLst/>
                          </a:prstGeom>
                          <a:noFill/>
                          <a:ln>
                            <a:noFill/>
                          </a:ln>
                        </pic:spPr>
                      </pic:pic>
                    </a:graphicData>
                  </a:graphic>
                </wp:anchor>
              </w:drawing>
            </w:r>
            <w:r>
              <w:rPr>
                <w:rFonts w:ascii="Times New Roman" w:hAnsi="Times New Roman" w:eastAsia="宋体" w:cs="Times New Roman"/>
                <w:color w:val="000000"/>
                <w:kern w:val="0"/>
                <w:sz w:val="24"/>
                <w:bdr w:val="single" w:color="000000" w:sz="4" w:space="0"/>
              </w:rPr>
              <w:drawing>
                <wp:anchor distT="0" distB="0" distL="114300" distR="114300" simplePos="0" relativeHeight="251669504" behindDoc="0" locked="0" layoutInCell="1" allowOverlap="1">
                  <wp:simplePos x="0" y="0"/>
                  <wp:positionH relativeFrom="column">
                    <wp:posOffset>15875</wp:posOffset>
                  </wp:positionH>
                  <wp:positionV relativeFrom="paragraph">
                    <wp:posOffset>9525</wp:posOffset>
                  </wp:positionV>
                  <wp:extent cx="791210" cy="1561465"/>
                  <wp:effectExtent l="0" t="0" r="8890" b="635"/>
                  <wp:wrapNone/>
                  <wp:docPr id="74" name="直接连接符_2_SpCnt_1"/>
                  <wp:cNvGraphicFramePr/>
                  <a:graphic xmlns:a="http://schemas.openxmlformats.org/drawingml/2006/main">
                    <a:graphicData uri="http://schemas.openxmlformats.org/drawingml/2006/picture">
                      <pic:pic xmlns:pic="http://schemas.openxmlformats.org/drawingml/2006/picture">
                        <pic:nvPicPr>
                          <pic:cNvPr id="74" name="直接连接符_2_SpCnt_1"/>
                          <pic:cNvPicPr/>
                        </pic:nvPicPr>
                        <pic:blipFill>
                          <a:blip r:embed="rId24"/>
                          <a:stretch>
                            <a:fillRect/>
                          </a:stretch>
                        </pic:blipFill>
                        <pic:spPr>
                          <a:xfrm>
                            <a:off x="0" y="0"/>
                            <a:ext cx="791210" cy="1561465"/>
                          </a:xfrm>
                          <a:prstGeom prst="rect">
                            <a:avLst/>
                          </a:prstGeom>
                          <a:noFill/>
                          <a:ln>
                            <a:noFill/>
                          </a:ln>
                        </pic:spPr>
                      </pic:pic>
                    </a:graphicData>
                  </a:graphic>
                </wp:anchor>
              </w:drawing>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4"/>
                <w:u w:val="single"/>
              </w:rPr>
            </w:pPr>
            <w:r>
              <w:rPr>
                <w:rFonts w:ascii="Times New Roman" w:hAnsi="Times New Roman" w:eastAsia="宋体" w:cs="Times New Roman"/>
                <w:color w:val="000000"/>
                <w:kern w:val="0"/>
                <w:sz w:val="24"/>
                <w:u w:val="single"/>
                <w:lang w:bidi="ar"/>
              </w:rPr>
              <w:t xml:space="preserve">         </w:t>
            </w:r>
            <w:r>
              <w:rPr>
                <w:rStyle w:val="34"/>
                <w:rFonts w:hint="default"/>
                <w:u w:val="single"/>
                <w:lang w:bidi="ar"/>
              </w:rPr>
              <w:t>年农户小额信用贷款平均余额</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34"/>
                <w:rFonts w:hint="default"/>
                <w:lang w:bidi="ar"/>
              </w:rPr>
              <w:t>涉农及小微企业贷款平均余额占比（</w:t>
            </w:r>
            <w:r>
              <w:rPr>
                <w:rFonts w:ascii="Times New Roman" w:hAnsi="Times New Roman" w:eastAsia="宋体" w:cs="Times New Roman"/>
                <w:color w:val="000000"/>
                <w:kern w:val="0"/>
                <w:sz w:val="24"/>
                <w:lang w:bidi="ar"/>
              </w:rPr>
              <w:t>%</w:t>
            </w:r>
            <w:r>
              <w:rPr>
                <w:rStyle w:val="34"/>
                <w:rFonts w:hint="default"/>
                <w:lang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u w:val="single"/>
              </w:rPr>
            </w:pPr>
            <w:r>
              <w:rPr>
                <w:rFonts w:ascii="Times New Roman" w:hAnsi="Times New Roman" w:eastAsia="宋体" w:cs="Times New Roman"/>
                <w:color w:val="000000"/>
                <w:kern w:val="0"/>
                <w:sz w:val="24"/>
                <w:u w:val="single"/>
                <w:lang w:bidi="ar"/>
              </w:rPr>
              <w:t xml:space="preserve">       </w:t>
            </w:r>
            <w:r>
              <w:rPr>
                <w:rStyle w:val="34"/>
                <w:rFonts w:hint="default"/>
                <w:u w:val="single"/>
                <w:lang w:bidi="ar"/>
              </w:rPr>
              <w:t>年均存贷比（</w:t>
            </w:r>
            <w:r>
              <w:rPr>
                <w:rFonts w:ascii="Times New Roman" w:hAnsi="Times New Roman" w:eastAsia="宋体" w:cs="Times New Roman"/>
                <w:color w:val="000000"/>
                <w:kern w:val="0"/>
                <w:sz w:val="24"/>
                <w:u w:val="single"/>
                <w:lang w:bidi="ar"/>
              </w:rPr>
              <w:t>%</w:t>
            </w:r>
            <w:r>
              <w:rPr>
                <w:rStyle w:val="34"/>
                <w:rFonts w:hint="default"/>
                <w:u w:val="single"/>
                <w:lang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是否符合</w:t>
            </w:r>
            <w:r>
              <w:rPr>
                <w:rFonts w:ascii="Times New Roman" w:hAnsi="Times New Roman" w:eastAsia="宋体" w:cs="Times New Roman"/>
                <w:color w:val="000000"/>
                <w:kern w:val="0"/>
                <w:sz w:val="24"/>
                <w:lang w:bidi="ar"/>
              </w:rPr>
              <w:br w:type="textWrapping"/>
            </w:r>
            <w:r>
              <w:rPr>
                <w:rFonts w:ascii="Times New Roman" w:hAnsi="Times New Roman" w:eastAsia="宋体" w:cs="Times New Roman"/>
                <w:color w:val="000000"/>
                <w:kern w:val="0"/>
                <w:sz w:val="24"/>
                <w:lang w:bidi="ar"/>
              </w:rPr>
              <w:t>补贴条件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szCs w:val="22"/>
              </w:rPr>
            </w:pPr>
            <w:r>
              <w:rPr>
                <w:rFonts w:hint="eastAsia" w:ascii="宋体" w:hAnsi="宋体" w:eastAsia="宋体" w:cs="宋体"/>
                <w:color w:val="000000"/>
                <w:kern w:val="0"/>
                <w:sz w:val="22"/>
                <w:szCs w:val="22"/>
                <w:lang w:bidi="ar"/>
              </w:rPr>
              <w:t>可予补贴的</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农户小额信用贷款余额</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备注</w:t>
            </w:r>
          </w:p>
        </w:tc>
      </w:tr>
      <w:tr>
        <w:tblPrEx>
          <w:tblCellMar>
            <w:top w:w="0" w:type="dxa"/>
            <w:left w:w="108" w:type="dxa"/>
            <w:bottom w:w="0" w:type="dxa"/>
            <w:right w:w="108" w:type="dxa"/>
          </w:tblCellMar>
        </w:tblPrEx>
        <w:trPr>
          <w:trHeight w:val="76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平均余额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同比变动（%）</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u w:val="singl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r>
      <w:tr>
        <w:tblPrEx>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4"/>
              </w:rPr>
            </w:pPr>
            <w:r>
              <w:rPr>
                <w:rStyle w:val="34"/>
                <w:rFonts w:hint="default"/>
                <w:lang w:bidi="ar"/>
              </w:rPr>
              <w:t>合计</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rPr>
                <w:rFonts w:ascii="Times New Roman" w:hAnsi="Times New Roman" w:eastAsia="宋体" w:cs="Times New Roman"/>
                <w:color w:val="000000"/>
                <w:sz w:val="24"/>
              </w:rPr>
            </w:pPr>
          </w:p>
        </w:tc>
      </w:tr>
    </w:tbl>
    <w:p>
      <w:pPr>
        <w:spacing w:line="578" w:lineRule="exact"/>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p>
      <w:pPr>
        <w:tabs>
          <w:tab w:val="left" w:pos="1547"/>
        </w:tabs>
        <w:rPr>
          <w:rFonts w:ascii="方正仿宋_GBK" w:hAnsi="方正仿宋_GBK" w:eastAsia="方正仿宋_GBK" w:cs="方正仿宋_GBK"/>
          <w:sz w:val="32"/>
          <w:szCs w:val="32"/>
        </w:rPr>
        <w:sectPr>
          <w:headerReference r:id="rId9" w:type="default"/>
          <w:footerReference r:id="rId10" w:type="default"/>
          <w:pgSz w:w="16838" w:h="11906" w:orient="landscape"/>
          <w:pgMar w:top="1587" w:right="1962" w:bottom="1474" w:left="1962" w:header="680" w:footer="794" w:gutter="0"/>
          <w:pgNumType w:fmt="numberInDash"/>
          <w:cols w:space="0" w:num="1"/>
          <w:docGrid w:type="lines" w:linePitch="312" w:charSpace="0"/>
        </w:sectPr>
      </w:pPr>
      <w:r>
        <w:rPr>
          <w:rFonts w:ascii="方正仿宋_GBK" w:hAnsi="方正仿宋_GBK" w:eastAsia="方正仿宋_GBK" w:cs="方正仿宋_GBK"/>
          <w:sz w:val="32"/>
          <w:szCs w:val="32"/>
        </w:rPr>
        <w:tab/>
      </w:r>
    </w:p>
    <w:tbl>
      <w:tblPr>
        <w:tblStyle w:val="8"/>
        <w:tblW w:w="0" w:type="auto"/>
        <w:tblInd w:w="93" w:type="dxa"/>
        <w:tblLayout w:type="autofit"/>
        <w:tblCellMar>
          <w:top w:w="0" w:type="dxa"/>
          <w:left w:w="108" w:type="dxa"/>
          <w:bottom w:w="0" w:type="dxa"/>
          <w:right w:w="108" w:type="dxa"/>
        </w:tblCellMar>
      </w:tblPr>
      <w:tblGrid>
        <w:gridCol w:w="1177"/>
        <w:gridCol w:w="1398"/>
        <w:gridCol w:w="1344"/>
        <w:gridCol w:w="2056"/>
        <w:gridCol w:w="366"/>
        <w:gridCol w:w="366"/>
        <w:gridCol w:w="366"/>
        <w:gridCol w:w="1037"/>
        <w:gridCol w:w="858"/>
      </w:tblGrid>
      <w:tr>
        <w:tblPrEx>
          <w:tblCellMar>
            <w:top w:w="0" w:type="dxa"/>
            <w:left w:w="108" w:type="dxa"/>
            <w:bottom w:w="0" w:type="dxa"/>
            <w:right w:w="108" w:type="dxa"/>
          </w:tblCellMar>
        </w:tblPrEx>
        <w:trPr>
          <w:trHeight w:val="405" w:hRule="atLeast"/>
        </w:trPr>
        <w:tc>
          <w:tcPr>
            <w:tcW w:w="0" w:type="auto"/>
            <w:tcBorders>
              <w:top w:val="nil"/>
              <w:left w:val="nil"/>
              <w:bottom w:val="nil"/>
              <w:right w:val="nil"/>
            </w:tcBorders>
            <w:shd w:val="clear" w:color="auto" w:fill="auto"/>
            <w:noWrap/>
            <w:vAlign w:val="center"/>
          </w:tcPr>
          <w:p>
            <w:pPr>
              <w:widowControl/>
              <w:jc w:val="left"/>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附件2</w:t>
            </w:r>
          </w:p>
        </w:tc>
        <w:tc>
          <w:tcPr>
            <w:tcW w:w="0" w:type="auto"/>
            <w:tcBorders>
              <w:top w:val="nil"/>
              <w:left w:val="nil"/>
              <w:bottom w:val="nil"/>
              <w:right w:val="nil"/>
            </w:tcBorders>
            <w:shd w:val="clear" w:color="auto" w:fill="auto"/>
            <w:noWrap/>
            <w:vAlign w:val="center"/>
          </w:tcPr>
          <w:p>
            <w:pPr>
              <w:rPr>
                <w:rFonts w:ascii="方正黑体_GBK" w:hAnsi="方正黑体_GBK" w:eastAsia="方正黑体_GBK" w:cs="方正黑体_GBK"/>
                <w:color w:val="000000"/>
                <w:sz w:val="24"/>
              </w:rPr>
            </w:pPr>
          </w:p>
        </w:tc>
        <w:tc>
          <w:tcPr>
            <w:tcW w:w="0" w:type="auto"/>
            <w:tcBorders>
              <w:top w:val="nil"/>
              <w:left w:val="nil"/>
              <w:bottom w:val="nil"/>
              <w:right w:val="nil"/>
            </w:tcBorders>
            <w:shd w:val="clear" w:color="auto" w:fill="auto"/>
            <w:vAlign w:val="center"/>
          </w:tcPr>
          <w:p>
            <w:pPr>
              <w:rPr>
                <w:rFonts w:ascii="方正黑体_GBK" w:hAnsi="方正黑体_GBK" w:eastAsia="方正黑体_GBK" w:cs="方正黑体_GBK"/>
                <w:color w:val="000000"/>
                <w:sz w:val="32"/>
                <w:szCs w:val="32"/>
              </w:rPr>
            </w:pPr>
          </w:p>
        </w:tc>
        <w:tc>
          <w:tcPr>
            <w:tcW w:w="0" w:type="auto"/>
            <w:tcBorders>
              <w:top w:val="nil"/>
              <w:left w:val="nil"/>
              <w:bottom w:val="nil"/>
              <w:right w:val="nil"/>
            </w:tcBorders>
            <w:shd w:val="clear" w:color="auto" w:fill="auto"/>
            <w:vAlign w:val="center"/>
          </w:tcPr>
          <w:p>
            <w:pPr>
              <w:rPr>
                <w:rFonts w:ascii="方正黑体_GBK" w:hAnsi="方正黑体_GBK" w:eastAsia="方正黑体_GBK" w:cs="方正黑体_GBK"/>
                <w:color w:val="000000"/>
                <w:sz w:val="32"/>
                <w:szCs w:val="32"/>
              </w:rPr>
            </w:pPr>
          </w:p>
        </w:tc>
        <w:tc>
          <w:tcPr>
            <w:tcW w:w="0" w:type="auto"/>
            <w:tcBorders>
              <w:top w:val="nil"/>
              <w:left w:val="nil"/>
              <w:bottom w:val="nil"/>
              <w:right w:val="nil"/>
            </w:tcBorders>
            <w:shd w:val="clear" w:color="auto" w:fill="auto"/>
            <w:vAlign w:val="center"/>
          </w:tcPr>
          <w:p>
            <w:pPr>
              <w:rPr>
                <w:rFonts w:ascii="方正黑体_GBK" w:hAnsi="方正黑体_GBK" w:eastAsia="方正黑体_GBK" w:cs="方正黑体_GBK"/>
                <w:color w:val="000000"/>
                <w:sz w:val="32"/>
                <w:szCs w:val="32"/>
              </w:rPr>
            </w:pPr>
          </w:p>
        </w:tc>
        <w:tc>
          <w:tcPr>
            <w:tcW w:w="0" w:type="auto"/>
            <w:tcBorders>
              <w:top w:val="nil"/>
              <w:left w:val="nil"/>
              <w:bottom w:val="nil"/>
              <w:right w:val="nil"/>
            </w:tcBorders>
            <w:shd w:val="clear" w:color="auto" w:fill="auto"/>
            <w:vAlign w:val="center"/>
          </w:tcPr>
          <w:p>
            <w:pPr>
              <w:rPr>
                <w:rFonts w:ascii="方正黑体_GBK" w:hAnsi="方正黑体_GBK" w:eastAsia="方正黑体_GBK" w:cs="方正黑体_GBK"/>
                <w:color w:val="000000"/>
                <w:sz w:val="32"/>
                <w:szCs w:val="32"/>
              </w:rPr>
            </w:pPr>
          </w:p>
        </w:tc>
        <w:tc>
          <w:tcPr>
            <w:tcW w:w="0" w:type="auto"/>
            <w:tcBorders>
              <w:top w:val="nil"/>
              <w:left w:val="nil"/>
              <w:bottom w:val="nil"/>
              <w:right w:val="nil"/>
            </w:tcBorders>
            <w:shd w:val="clear" w:color="auto" w:fill="auto"/>
            <w:vAlign w:val="center"/>
          </w:tcPr>
          <w:p>
            <w:pPr>
              <w:rPr>
                <w:rFonts w:ascii="方正黑体_GBK" w:hAnsi="方正黑体_GBK" w:eastAsia="方正黑体_GBK" w:cs="方正黑体_GBK"/>
                <w:color w:val="000000"/>
                <w:sz w:val="32"/>
                <w:szCs w:val="32"/>
              </w:rPr>
            </w:pPr>
          </w:p>
        </w:tc>
        <w:tc>
          <w:tcPr>
            <w:tcW w:w="0" w:type="auto"/>
            <w:tcBorders>
              <w:top w:val="nil"/>
              <w:left w:val="nil"/>
              <w:bottom w:val="nil"/>
              <w:right w:val="nil"/>
            </w:tcBorders>
            <w:shd w:val="clear" w:color="auto" w:fill="auto"/>
            <w:vAlign w:val="center"/>
          </w:tcPr>
          <w:p>
            <w:pPr>
              <w:rPr>
                <w:rFonts w:ascii="方正黑体_GBK" w:hAnsi="方正黑体_GBK" w:eastAsia="方正黑体_GBK" w:cs="方正黑体_GBK"/>
                <w:color w:val="000000"/>
                <w:sz w:val="32"/>
                <w:szCs w:val="32"/>
              </w:rPr>
            </w:pPr>
          </w:p>
        </w:tc>
        <w:tc>
          <w:tcPr>
            <w:tcW w:w="0" w:type="auto"/>
            <w:tcBorders>
              <w:top w:val="nil"/>
              <w:left w:val="nil"/>
              <w:bottom w:val="nil"/>
              <w:right w:val="nil"/>
            </w:tcBorders>
            <w:shd w:val="clear" w:color="auto" w:fill="auto"/>
            <w:vAlign w:val="center"/>
          </w:tcPr>
          <w:p>
            <w:pPr>
              <w:rPr>
                <w:rFonts w:ascii="方正黑体_GBK" w:hAnsi="方正黑体_GBK" w:eastAsia="方正黑体_GBK" w:cs="方正黑体_GBK"/>
                <w:color w:val="000000"/>
                <w:sz w:val="32"/>
                <w:szCs w:val="32"/>
              </w:rPr>
            </w:pPr>
          </w:p>
        </w:tc>
      </w:tr>
      <w:tr>
        <w:tblPrEx>
          <w:tblCellMar>
            <w:top w:w="0" w:type="dxa"/>
            <w:left w:w="108" w:type="dxa"/>
            <w:bottom w:w="0" w:type="dxa"/>
            <w:right w:w="108" w:type="dxa"/>
          </w:tblCellMar>
        </w:tblPrEx>
        <w:trPr>
          <w:trHeight w:val="615" w:hRule="atLeast"/>
        </w:trPr>
        <w:tc>
          <w:tcPr>
            <w:tcW w:w="0" w:type="auto"/>
            <w:gridSpan w:val="9"/>
            <w:tcBorders>
              <w:top w:val="nil"/>
              <w:left w:val="nil"/>
              <w:bottom w:val="nil"/>
              <w:right w:val="nil"/>
            </w:tcBorders>
            <w:shd w:val="clear" w:color="auto" w:fill="auto"/>
            <w:vAlign w:val="center"/>
          </w:tcPr>
          <w:p>
            <w:pPr>
              <w:widowControl/>
              <w:jc w:val="center"/>
              <w:textAlignment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kern w:val="0"/>
                <w:sz w:val="36"/>
                <w:szCs w:val="36"/>
                <w:lang w:bidi="ar"/>
              </w:rPr>
              <w:t>普惠金融发展专项资金绩效目标申报表（样表）</w:t>
            </w:r>
          </w:p>
        </w:tc>
      </w:tr>
      <w:tr>
        <w:tblPrEx>
          <w:tblCellMar>
            <w:top w:w="0" w:type="dxa"/>
            <w:left w:w="108" w:type="dxa"/>
            <w:bottom w:w="0" w:type="dxa"/>
            <w:right w:w="108" w:type="dxa"/>
          </w:tblCellMar>
        </w:tblPrEx>
        <w:trPr>
          <w:trHeight w:val="420" w:hRule="atLeast"/>
        </w:trPr>
        <w:tc>
          <w:tcPr>
            <w:tcW w:w="0" w:type="auto"/>
            <w:gridSpan w:val="9"/>
            <w:tcBorders>
              <w:top w:val="nil"/>
              <w:left w:val="nil"/>
              <w:bottom w:val="nil"/>
              <w:right w:val="nil"/>
            </w:tcBorders>
            <w:shd w:val="clear" w:color="auto" w:fill="auto"/>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w:t>
            </w:r>
            <w:r>
              <w:rPr>
                <w:rFonts w:ascii="Times New Roman" w:hAnsi="Times New Roman" w:eastAsia="方正仿宋_GBK" w:cs="Times New Roman"/>
                <w:color w:val="000000"/>
                <w:kern w:val="0"/>
                <w:sz w:val="28"/>
                <w:szCs w:val="28"/>
                <w:lang w:bidi="ar"/>
              </w:rPr>
              <w:t>202X</w:t>
            </w:r>
            <w:r>
              <w:rPr>
                <w:rFonts w:hint="eastAsia" w:ascii="方正仿宋_GBK" w:hAnsi="方正仿宋_GBK" w:eastAsia="方正仿宋_GBK" w:cs="方正仿宋_GBK"/>
                <w:color w:val="000000"/>
                <w:kern w:val="0"/>
                <w:sz w:val="28"/>
                <w:szCs w:val="28"/>
                <w:lang w:bidi="ar"/>
              </w:rPr>
              <w:t>年度）</w:t>
            </w:r>
          </w:p>
        </w:tc>
      </w:tr>
      <w:tr>
        <w:tblPrEx>
          <w:tblCellMar>
            <w:top w:w="0" w:type="dxa"/>
            <w:left w:w="108" w:type="dxa"/>
            <w:bottom w:w="0" w:type="dxa"/>
            <w:right w:w="108" w:type="dxa"/>
          </w:tblCellMar>
        </w:tblPrEx>
        <w:trPr>
          <w:trHeight w:val="7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000000"/>
                <w:sz w:val="28"/>
                <w:szCs w:val="28"/>
              </w:rPr>
            </w:pPr>
            <w:r>
              <w:rPr>
                <w:rFonts w:hint="eastAsia" w:ascii="方正仿宋_GBK" w:hAnsi="方正仿宋_GBK" w:eastAsia="方正仿宋_GBK" w:cs="方正仿宋_GBK"/>
                <w:color w:val="000000"/>
                <w:kern w:val="0"/>
                <w:sz w:val="28"/>
                <w:szCs w:val="28"/>
                <w:lang w:bidi="ar"/>
              </w:rPr>
              <w:t>专项名称</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lang w:bidi="ar"/>
              </w:rPr>
              <w:t>普惠金融发展专项资金</w:t>
            </w:r>
          </w:p>
        </w:tc>
      </w:tr>
      <w:tr>
        <w:tblPrEx>
          <w:tblCellMar>
            <w:top w:w="0" w:type="dxa"/>
            <w:left w:w="108" w:type="dxa"/>
            <w:bottom w:w="0" w:type="dxa"/>
            <w:right w:w="108" w:type="dxa"/>
          </w:tblCellMar>
        </w:tblPrEx>
        <w:trPr>
          <w:trHeight w:val="7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市级主管部门</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lang w:bidi="ar"/>
              </w:rPr>
              <w:t>重庆市财政局</w:t>
            </w:r>
          </w:p>
        </w:tc>
      </w:tr>
      <w:tr>
        <w:tblPrEx>
          <w:tblCellMar>
            <w:top w:w="0" w:type="dxa"/>
            <w:left w:w="108" w:type="dxa"/>
            <w:bottom w:w="0" w:type="dxa"/>
            <w:right w:w="108" w:type="dxa"/>
          </w:tblCellMar>
        </w:tblPrEx>
        <w:trPr>
          <w:trHeight w:val="7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当地财政部门</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lang w:bidi="ar"/>
              </w:rPr>
              <w:t>XX区财政局</w:t>
            </w:r>
          </w:p>
        </w:tc>
      </w:tr>
      <w:tr>
        <w:tblPrEx>
          <w:tblCellMar>
            <w:top w:w="0" w:type="dxa"/>
            <w:left w:w="108" w:type="dxa"/>
            <w:bottom w:w="0" w:type="dxa"/>
            <w:right w:w="108" w:type="dxa"/>
          </w:tblCellMar>
        </w:tblPrEx>
        <w:trPr>
          <w:trHeight w:val="7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000000"/>
                <w:sz w:val="28"/>
                <w:szCs w:val="28"/>
              </w:rPr>
            </w:pPr>
            <w:r>
              <w:rPr>
                <w:rFonts w:hint="eastAsia" w:ascii="方正仿宋_GBK" w:hAnsi="方正仿宋_GBK" w:eastAsia="方正仿宋_GBK" w:cs="方正仿宋_GBK"/>
                <w:color w:val="000000"/>
                <w:kern w:val="0"/>
                <w:sz w:val="28"/>
                <w:szCs w:val="28"/>
                <w:lang w:bidi="ar"/>
              </w:rPr>
              <w:t>资金</w:t>
            </w:r>
            <w:r>
              <w:rPr>
                <w:rFonts w:hint="eastAsia" w:ascii="方正仿宋_GBK" w:hAnsi="方正仿宋_GBK" w:eastAsia="方正仿宋_GBK" w:cs="方正仿宋_GBK"/>
                <w:color w:val="000000"/>
                <w:kern w:val="0"/>
                <w:sz w:val="28"/>
                <w:szCs w:val="28"/>
                <w:lang w:bidi="ar"/>
              </w:rPr>
              <w:br w:type="textWrapping"/>
            </w:r>
            <w:r>
              <w:rPr>
                <w:rFonts w:hint="eastAsia" w:ascii="方正仿宋_GBK" w:hAnsi="方正仿宋_GBK" w:eastAsia="方正仿宋_GBK" w:cs="方正仿宋_GBK"/>
                <w:color w:val="000000"/>
                <w:kern w:val="0"/>
                <w:sz w:val="28"/>
                <w:szCs w:val="28"/>
                <w:lang w:bidi="ar"/>
              </w:rPr>
              <w:t>情况</w:t>
            </w:r>
            <w:r>
              <w:rPr>
                <w:rFonts w:hint="eastAsia" w:ascii="方正仿宋_GBK" w:hAnsi="方正仿宋_GBK" w:eastAsia="方正仿宋_GBK" w:cs="方正仿宋_GBK"/>
                <w:color w:val="000000"/>
                <w:kern w:val="0"/>
                <w:sz w:val="28"/>
                <w:szCs w:val="28"/>
                <w:lang w:bidi="ar"/>
              </w:rPr>
              <w:br w:type="textWrapping"/>
            </w:r>
            <w:r>
              <w:rPr>
                <w:rFonts w:hint="eastAsia" w:ascii="方正仿宋_GBK" w:hAnsi="方正仿宋_GBK" w:eastAsia="方正仿宋_GBK" w:cs="方正仿宋_GBK"/>
                <w:color w:val="000000"/>
                <w:kern w:val="0"/>
                <w:sz w:val="28"/>
                <w:szCs w:val="28"/>
                <w:lang w:bidi="ar"/>
              </w:rPr>
              <w:t>（万元）</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等线" w:cs="Times New Roman"/>
                <w:color w:val="000000"/>
                <w:sz w:val="28"/>
                <w:szCs w:val="28"/>
              </w:rPr>
            </w:pPr>
            <w:r>
              <w:rPr>
                <w:rFonts w:ascii="Times New Roman" w:hAnsi="Times New Roman" w:eastAsia="等线" w:cs="Times New Roman"/>
                <w:color w:val="000000"/>
                <w:kern w:val="0"/>
                <w:sz w:val="28"/>
                <w:szCs w:val="28"/>
                <w:lang w:bidi="ar"/>
              </w:rPr>
              <w:t xml:space="preserve">  </w:t>
            </w:r>
            <w:r>
              <w:rPr>
                <w:rFonts w:hint="eastAsia" w:ascii="方正仿宋_GBK" w:hAnsi="方正仿宋_GBK" w:eastAsia="方正仿宋_GBK" w:cs="方正仿宋_GBK"/>
                <w:color w:val="000000"/>
                <w:kern w:val="0"/>
                <w:sz w:val="28"/>
                <w:szCs w:val="28"/>
                <w:lang w:bidi="ar"/>
              </w:rPr>
              <w:t>年度金额：</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等线" w:cs="Times New Roman"/>
                <w:color w:val="000000"/>
                <w:sz w:val="28"/>
                <w:szCs w:val="28"/>
              </w:rPr>
            </w:pPr>
          </w:p>
        </w:tc>
      </w:tr>
      <w:tr>
        <w:tblPrEx>
          <w:tblCellMar>
            <w:top w:w="0" w:type="dxa"/>
            <w:left w:w="108" w:type="dxa"/>
            <w:bottom w:w="0" w:type="dxa"/>
            <w:right w:w="108" w:type="dxa"/>
          </w:tblCellMar>
        </w:tblPrEx>
        <w:trPr>
          <w:trHeight w:val="7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等线" w:cs="Times New Roman"/>
                <w:color w:val="000000"/>
                <w:sz w:val="28"/>
                <w:szCs w:val="2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000000"/>
                <w:sz w:val="28"/>
                <w:szCs w:val="28"/>
              </w:rPr>
            </w:pPr>
            <w:r>
              <w:rPr>
                <w:rFonts w:ascii="Times New Roman" w:hAnsi="Times New Roman" w:eastAsia="等线" w:cs="Times New Roman"/>
                <w:color w:val="000000"/>
                <w:kern w:val="0"/>
                <w:sz w:val="28"/>
                <w:szCs w:val="28"/>
                <w:lang w:bidi="ar"/>
              </w:rPr>
              <w:t xml:space="preserve">        </w:t>
            </w:r>
            <w:r>
              <w:rPr>
                <w:rFonts w:hint="eastAsia" w:ascii="方正仿宋_GBK" w:hAnsi="方正仿宋_GBK" w:eastAsia="方正仿宋_GBK" w:cs="方正仿宋_GBK"/>
                <w:color w:val="000000"/>
                <w:kern w:val="0"/>
                <w:sz w:val="28"/>
                <w:szCs w:val="28"/>
                <w:lang w:bidi="ar"/>
              </w:rPr>
              <w:t>其中：中央资金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等线" w:cs="Times New Roman"/>
                <w:color w:val="000000"/>
                <w:sz w:val="28"/>
                <w:szCs w:val="28"/>
              </w:rPr>
            </w:pPr>
          </w:p>
        </w:tc>
      </w:tr>
      <w:tr>
        <w:tblPrEx>
          <w:tblCellMar>
            <w:top w:w="0" w:type="dxa"/>
            <w:left w:w="108" w:type="dxa"/>
            <w:bottom w:w="0" w:type="dxa"/>
            <w:right w:w="108" w:type="dxa"/>
          </w:tblCellMar>
        </w:tblPrEx>
        <w:trPr>
          <w:trHeight w:val="7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等线" w:cs="Times New Roman"/>
                <w:color w:val="000000"/>
                <w:sz w:val="28"/>
                <w:szCs w:val="2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000000"/>
                <w:sz w:val="28"/>
                <w:szCs w:val="28"/>
              </w:rPr>
            </w:pPr>
            <w:r>
              <w:rPr>
                <w:rFonts w:ascii="Times New Roman" w:hAnsi="Times New Roman" w:eastAsia="等线" w:cs="Times New Roman"/>
                <w:color w:val="000000"/>
                <w:kern w:val="0"/>
                <w:sz w:val="28"/>
                <w:szCs w:val="28"/>
                <w:lang w:bidi="ar"/>
              </w:rPr>
              <w:t xml:space="preserve">                      </w:t>
            </w:r>
            <w:r>
              <w:rPr>
                <w:rFonts w:hint="eastAsia" w:ascii="方正仿宋_GBK" w:hAnsi="方正仿宋_GBK" w:eastAsia="方正仿宋_GBK" w:cs="方正仿宋_GBK"/>
                <w:color w:val="000000"/>
                <w:kern w:val="0"/>
                <w:sz w:val="28"/>
                <w:szCs w:val="28"/>
                <w:lang w:bidi="ar"/>
              </w:rPr>
              <w:t>市级资金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等线" w:cs="Times New Roman"/>
                <w:color w:val="000000"/>
                <w:sz w:val="28"/>
                <w:szCs w:val="28"/>
              </w:rPr>
            </w:pPr>
          </w:p>
        </w:tc>
      </w:tr>
      <w:tr>
        <w:tblPrEx>
          <w:tblCellMar>
            <w:top w:w="0" w:type="dxa"/>
            <w:left w:w="108" w:type="dxa"/>
            <w:bottom w:w="0" w:type="dxa"/>
            <w:right w:w="108" w:type="dxa"/>
          </w:tblCellMar>
        </w:tblPrEx>
        <w:trPr>
          <w:trHeight w:val="13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000000"/>
                <w:sz w:val="28"/>
                <w:szCs w:val="28"/>
              </w:rPr>
            </w:pPr>
            <w:r>
              <w:rPr>
                <w:rFonts w:hint="eastAsia" w:ascii="方正仿宋_GBK" w:hAnsi="方正仿宋_GBK" w:eastAsia="方正仿宋_GBK" w:cs="方正仿宋_GBK"/>
                <w:color w:val="000000"/>
                <w:kern w:val="0"/>
                <w:sz w:val="28"/>
                <w:szCs w:val="28"/>
                <w:lang w:bidi="ar"/>
              </w:rPr>
              <w:t>年度总体目标</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7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中央统一指标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000000"/>
                <w:sz w:val="28"/>
                <w:szCs w:val="28"/>
              </w:rPr>
            </w:pPr>
            <w:r>
              <w:rPr>
                <w:rFonts w:hint="eastAsia" w:ascii="方正仿宋_GBK" w:hAnsi="方正仿宋_GBK" w:eastAsia="方正仿宋_GBK" w:cs="方正仿宋_GBK"/>
                <w:color w:val="000000"/>
                <w:kern w:val="0"/>
                <w:sz w:val="28"/>
                <w:szCs w:val="28"/>
                <w:lang w:bidi="ar"/>
              </w:rPr>
              <w:t>一级</w:t>
            </w:r>
            <w:r>
              <w:rPr>
                <w:rFonts w:hint="eastAsia" w:ascii="方正仿宋_GBK" w:hAnsi="方正仿宋_GBK" w:eastAsia="方正仿宋_GBK" w:cs="方正仿宋_GBK"/>
                <w:color w:val="000000"/>
                <w:kern w:val="0"/>
                <w:sz w:val="28"/>
                <w:szCs w:val="28"/>
                <w:lang w:bidi="ar"/>
              </w:rPr>
              <w:br w:type="textWrapping"/>
            </w:r>
            <w:r>
              <w:rPr>
                <w:rFonts w:hint="eastAsia" w:ascii="方正仿宋_GBK" w:hAnsi="方正仿宋_GBK" w:eastAsia="方正仿宋_GBK" w:cs="方正仿宋_GBK"/>
                <w:color w:val="000000"/>
                <w:kern w:val="0"/>
                <w:sz w:val="28"/>
                <w:szCs w:val="28"/>
                <w:lang w:bidi="ar"/>
              </w:rPr>
              <w:t>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000000"/>
                <w:sz w:val="28"/>
                <w:szCs w:val="28"/>
              </w:rPr>
            </w:pPr>
            <w:r>
              <w:rPr>
                <w:rFonts w:hint="eastAsia" w:ascii="方正仿宋_GBK" w:hAnsi="方正仿宋_GBK" w:eastAsia="方正仿宋_GBK" w:cs="方正仿宋_GBK"/>
                <w:color w:val="000000"/>
                <w:kern w:val="0"/>
                <w:sz w:val="28"/>
                <w:szCs w:val="28"/>
                <w:lang w:bidi="ar"/>
              </w:rPr>
              <w:t>二级指标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000000"/>
                <w:sz w:val="28"/>
                <w:szCs w:val="28"/>
              </w:rPr>
            </w:pPr>
            <w:r>
              <w:rPr>
                <w:rFonts w:hint="eastAsia" w:ascii="方正仿宋_GBK" w:hAnsi="方正仿宋_GBK" w:eastAsia="方正仿宋_GBK" w:cs="方正仿宋_GBK"/>
                <w:color w:val="000000"/>
                <w:kern w:val="0"/>
                <w:sz w:val="28"/>
                <w:szCs w:val="28"/>
                <w:lang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000000"/>
                <w:sz w:val="28"/>
                <w:szCs w:val="28"/>
              </w:rPr>
            </w:pPr>
            <w:r>
              <w:rPr>
                <w:rFonts w:hint="eastAsia" w:ascii="方正仿宋_GBK" w:hAnsi="方正仿宋_GBK" w:eastAsia="方正仿宋_GBK" w:cs="方正仿宋_GBK"/>
                <w:color w:val="000000"/>
                <w:kern w:val="0"/>
                <w:sz w:val="28"/>
                <w:szCs w:val="28"/>
                <w:lang w:bidi="ar"/>
              </w:rPr>
              <w:t>指标值</w:t>
            </w:r>
          </w:p>
        </w:tc>
      </w:tr>
      <w:tr>
        <w:tblPrEx>
          <w:tblCellMar>
            <w:top w:w="0" w:type="dxa"/>
            <w:left w:w="108" w:type="dxa"/>
            <w:bottom w:w="0" w:type="dxa"/>
            <w:right w:w="108" w:type="dxa"/>
          </w:tblCellMar>
        </w:tblPrEx>
        <w:trPr>
          <w:trHeight w:val="1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8"/>
                <w:szCs w:val="2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000000"/>
                <w:sz w:val="28"/>
                <w:szCs w:val="28"/>
              </w:rPr>
            </w:pPr>
            <w:r>
              <w:rPr>
                <w:rFonts w:hint="eastAsia" w:ascii="方正仿宋_GBK" w:hAnsi="方正仿宋_GBK" w:eastAsia="方正仿宋_GBK" w:cs="方正仿宋_GBK"/>
                <w:color w:val="000000"/>
                <w:kern w:val="0"/>
                <w:sz w:val="28"/>
                <w:szCs w:val="28"/>
                <w:lang w:bidi="ar"/>
              </w:rPr>
              <w:t>产</w:t>
            </w:r>
            <w:r>
              <w:rPr>
                <w:rFonts w:hint="eastAsia" w:ascii="方正仿宋_GBK" w:hAnsi="方正仿宋_GBK" w:eastAsia="方正仿宋_GBK" w:cs="方正仿宋_GBK"/>
                <w:color w:val="000000"/>
                <w:kern w:val="0"/>
                <w:sz w:val="28"/>
                <w:szCs w:val="28"/>
                <w:lang w:bidi="ar"/>
              </w:rPr>
              <w:br w:type="textWrapping"/>
            </w:r>
            <w:r>
              <w:rPr>
                <w:rFonts w:hint="eastAsia" w:ascii="方正仿宋_GBK" w:hAnsi="方正仿宋_GBK" w:eastAsia="方正仿宋_GBK" w:cs="方正仿宋_GBK"/>
                <w:color w:val="000000"/>
                <w:kern w:val="0"/>
                <w:sz w:val="28"/>
                <w:szCs w:val="28"/>
                <w:lang w:bidi="ar"/>
              </w:rPr>
              <w:t>出</w:t>
            </w:r>
            <w:r>
              <w:rPr>
                <w:rFonts w:hint="eastAsia" w:ascii="方正仿宋_GBK" w:hAnsi="方正仿宋_GBK" w:eastAsia="方正仿宋_GBK" w:cs="方正仿宋_GBK"/>
                <w:color w:val="000000"/>
                <w:kern w:val="0"/>
                <w:sz w:val="28"/>
                <w:szCs w:val="28"/>
                <w:lang w:bidi="ar"/>
              </w:rPr>
              <w:br w:type="textWrapping"/>
            </w:r>
            <w:r>
              <w:rPr>
                <w:rFonts w:hint="eastAsia" w:ascii="方正仿宋_GBK" w:hAnsi="方正仿宋_GBK" w:eastAsia="方正仿宋_GBK" w:cs="方正仿宋_GBK"/>
                <w:color w:val="000000"/>
                <w:kern w:val="0"/>
                <w:sz w:val="28"/>
                <w:szCs w:val="28"/>
                <w:lang w:bidi="ar"/>
              </w:rPr>
              <w:t>指</w:t>
            </w:r>
            <w:r>
              <w:rPr>
                <w:rFonts w:hint="eastAsia" w:ascii="方正仿宋_GBK" w:hAnsi="方正仿宋_GBK" w:eastAsia="方正仿宋_GBK" w:cs="方正仿宋_GBK"/>
                <w:color w:val="000000"/>
                <w:kern w:val="0"/>
                <w:sz w:val="28"/>
                <w:szCs w:val="28"/>
                <w:lang w:bidi="ar"/>
              </w:rPr>
              <w:br w:type="textWrapping"/>
            </w:r>
            <w:r>
              <w:rPr>
                <w:rFonts w:hint="eastAsia" w:ascii="方正仿宋_GBK" w:hAnsi="方正仿宋_GBK" w:eastAsia="方正仿宋_GBK" w:cs="方正仿宋_GBK"/>
                <w:color w:val="000000"/>
                <w:kern w:val="0"/>
                <w:sz w:val="28"/>
                <w:szCs w:val="28"/>
                <w:lang w:bidi="ar"/>
              </w:rPr>
              <w:t>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000000"/>
                <w:sz w:val="28"/>
                <w:szCs w:val="28"/>
              </w:rPr>
            </w:pPr>
            <w:r>
              <w:rPr>
                <w:rFonts w:hint="eastAsia" w:ascii="方正仿宋_GBK" w:hAnsi="方正仿宋_GBK" w:eastAsia="方正仿宋_GBK" w:cs="方正仿宋_GBK"/>
                <w:color w:val="000000"/>
                <w:kern w:val="0"/>
                <w:sz w:val="28"/>
                <w:szCs w:val="28"/>
                <w:lang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等线" w:cs="Times New Roman"/>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1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等线" w:cs="Times New Roman"/>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等线" w:cs="Times New Roman"/>
                <w:color w:val="000000"/>
                <w:sz w:val="28"/>
                <w:szCs w:val="2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等线" w:cs="Times New Roman"/>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1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等线" w:cs="Times New Roman"/>
                <w:color w:val="000000"/>
                <w:sz w:val="28"/>
                <w:szCs w:val="2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000000"/>
                <w:sz w:val="28"/>
                <w:szCs w:val="28"/>
              </w:rPr>
            </w:pPr>
            <w:r>
              <w:rPr>
                <w:rFonts w:hint="eastAsia" w:ascii="方正仿宋_GBK" w:hAnsi="方正仿宋_GBK" w:eastAsia="方正仿宋_GBK" w:cs="方正仿宋_GBK"/>
                <w:color w:val="000000"/>
                <w:kern w:val="0"/>
                <w:sz w:val="28"/>
                <w:szCs w:val="28"/>
                <w:lang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等线" w:cs="Times New Roman"/>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1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等线" w:cs="Times New Roman"/>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等线" w:cs="Times New Roman"/>
                <w:color w:val="000000"/>
                <w:sz w:val="28"/>
                <w:szCs w:val="2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等线" w:cs="Times New Roman"/>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等线" w:cs="Times New Roman"/>
                <w:color w:val="000000"/>
                <w:sz w:val="28"/>
                <w:szCs w:val="28"/>
              </w:rPr>
            </w:pPr>
          </w:p>
        </w:tc>
      </w:tr>
      <w:tr>
        <w:tblPrEx>
          <w:tblCellMar>
            <w:top w:w="0" w:type="dxa"/>
            <w:left w:w="108" w:type="dxa"/>
            <w:bottom w:w="0" w:type="dxa"/>
            <w:right w:w="108" w:type="dxa"/>
          </w:tblCellMar>
        </w:tblPrEx>
        <w:trPr>
          <w:trHeight w:val="1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等线" w:cs="Times New Roman"/>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等线" w:cs="Times New Roman"/>
                <w:color w:val="000000"/>
                <w:sz w:val="28"/>
                <w:szCs w:val="2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等线" w:cs="Times New Roman"/>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等线" w:cs="Times New Roman"/>
                <w:color w:val="000000"/>
                <w:sz w:val="28"/>
                <w:szCs w:val="28"/>
              </w:rPr>
            </w:pPr>
          </w:p>
        </w:tc>
      </w:tr>
      <w:tr>
        <w:tblPrEx>
          <w:tblCellMar>
            <w:top w:w="0" w:type="dxa"/>
            <w:left w:w="108" w:type="dxa"/>
            <w:bottom w:w="0" w:type="dxa"/>
            <w:right w:w="108" w:type="dxa"/>
          </w:tblCellMar>
        </w:tblPrEx>
        <w:trPr>
          <w:trHeight w:val="1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等线" w:cs="Times New Roman"/>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等线" w:cs="Times New Roman"/>
                <w:color w:val="000000"/>
                <w:sz w:val="28"/>
                <w:szCs w:val="2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等线" w:cs="Times New Roman"/>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1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8"/>
                <w:szCs w:val="2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经济效益指标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等线" w:cs="Times New Roman"/>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1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社会效益指标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等线" w:cs="Times New Roman"/>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1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服务对象满意度指标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等线" w:cs="Times New Roman"/>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8"/>
                <w:szCs w:val="28"/>
              </w:rPr>
            </w:pPr>
          </w:p>
        </w:tc>
      </w:tr>
    </w:tbl>
    <w:p>
      <w:pPr>
        <w:tabs>
          <w:tab w:val="left" w:pos="1547"/>
        </w:tabs>
        <w:rPr>
          <w:rFonts w:ascii="方正仿宋_GBK" w:hAnsi="方正仿宋_GBK" w:eastAsia="方正仿宋_GBK" w:cs="方正仿宋_GBK"/>
          <w:sz w:val="32"/>
          <w:szCs w:val="32"/>
        </w:rPr>
      </w:pPr>
    </w:p>
    <w:p>
      <w:pPr>
        <w:tabs>
          <w:tab w:val="left" w:pos="1547"/>
        </w:tabs>
        <w:rPr>
          <w:rFonts w:ascii="方正仿宋_GBK" w:hAnsi="方正仿宋_GBK" w:eastAsia="方正仿宋_GBK" w:cs="方正仿宋_GBK"/>
          <w:sz w:val="32"/>
          <w:szCs w:val="32"/>
        </w:rPr>
      </w:pPr>
    </w:p>
    <w:tbl>
      <w:tblPr>
        <w:tblStyle w:val="8"/>
        <w:tblW w:w="0" w:type="auto"/>
        <w:tblInd w:w="93" w:type="dxa"/>
        <w:tblLayout w:type="autofit"/>
        <w:tblCellMar>
          <w:top w:w="0" w:type="dxa"/>
          <w:left w:w="108" w:type="dxa"/>
          <w:bottom w:w="0" w:type="dxa"/>
          <w:right w:w="108" w:type="dxa"/>
        </w:tblCellMar>
      </w:tblPr>
      <w:tblGrid>
        <w:gridCol w:w="1510"/>
        <w:gridCol w:w="948"/>
        <w:gridCol w:w="1088"/>
        <w:gridCol w:w="277"/>
        <w:gridCol w:w="1472"/>
        <w:gridCol w:w="276"/>
        <w:gridCol w:w="762"/>
        <w:gridCol w:w="1067"/>
        <w:gridCol w:w="1568"/>
      </w:tblGrid>
      <w:tr>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widowControl/>
              <w:jc w:val="left"/>
              <w:textAlignment w:val="center"/>
              <w:rPr>
                <w:rFonts w:ascii="黑体" w:hAnsi="宋体" w:eastAsia="黑体" w:cs="黑体"/>
                <w:color w:val="000000"/>
                <w:sz w:val="24"/>
              </w:rPr>
            </w:pPr>
            <w:r>
              <w:rPr>
                <w:rFonts w:hint="eastAsia" w:ascii="黑体" w:hAnsi="宋体" w:eastAsia="黑体" w:cs="黑体"/>
                <w:color w:val="000000"/>
                <w:kern w:val="0"/>
                <w:sz w:val="24"/>
                <w:lang w:bidi="ar"/>
              </w:rPr>
              <w:t>附件3-1：</w:t>
            </w:r>
          </w:p>
        </w:tc>
        <w:tc>
          <w:tcPr>
            <w:tcW w:w="0" w:type="auto"/>
            <w:tcBorders>
              <w:top w:val="nil"/>
              <w:left w:val="nil"/>
              <w:bottom w:val="nil"/>
              <w:right w:val="nil"/>
            </w:tcBorders>
            <w:shd w:val="clear" w:color="auto" w:fill="auto"/>
            <w:vAlign w:val="center"/>
          </w:tcPr>
          <w:p>
            <w:pPr>
              <w:rPr>
                <w:rFonts w:ascii="黑体" w:hAnsi="宋体" w:eastAsia="黑体" w:cs="黑体"/>
                <w:color w:val="000000"/>
                <w:sz w:val="24"/>
              </w:rPr>
            </w:pPr>
          </w:p>
        </w:tc>
        <w:tc>
          <w:tcPr>
            <w:tcW w:w="0" w:type="auto"/>
            <w:tcBorders>
              <w:top w:val="nil"/>
              <w:left w:val="nil"/>
              <w:bottom w:val="nil"/>
              <w:right w:val="nil"/>
            </w:tcBorders>
            <w:shd w:val="clear" w:color="auto" w:fill="auto"/>
            <w:vAlign w:val="center"/>
          </w:tcPr>
          <w:p>
            <w:pPr>
              <w:rPr>
                <w:rFonts w:ascii="宋体" w:hAnsi="宋体" w:eastAsia="宋体" w:cs="宋体"/>
                <w:color w:val="000000"/>
                <w:sz w:val="24"/>
              </w:rPr>
            </w:pPr>
          </w:p>
        </w:tc>
        <w:tc>
          <w:tcPr>
            <w:tcW w:w="0" w:type="auto"/>
            <w:tcBorders>
              <w:top w:val="nil"/>
              <w:left w:val="nil"/>
              <w:bottom w:val="nil"/>
              <w:right w:val="nil"/>
            </w:tcBorders>
            <w:shd w:val="clear" w:color="auto" w:fill="auto"/>
            <w:vAlign w:val="center"/>
          </w:tcPr>
          <w:p>
            <w:pPr>
              <w:rPr>
                <w:rFonts w:ascii="宋体" w:hAnsi="宋体" w:eastAsia="宋体" w:cs="宋体"/>
                <w:color w:val="000000"/>
                <w:sz w:val="24"/>
              </w:rPr>
            </w:pPr>
          </w:p>
        </w:tc>
        <w:tc>
          <w:tcPr>
            <w:tcW w:w="0" w:type="auto"/>
            <w:tcBorders>
              <w:top w:val="nil"/>
              <w:left w:val="nil"/>
              <w:bottom w:val="nil"/>
              <w:right w:val="nil"/>
            </w:tcBorders>
            <w:shd w:val="clear" w:color="auto" w:fill="auto"/>
            <w:vAlign w:val="center"/>
          </w:tcPr>
          <w:p>
            <w:pPr>
              <w:rPr>
                <w:rFonts w:ascii="宋体" w:hAnsi="宋体" w:eastAsia="宋体" w:cs="宋体"/>
                <w:color w:val="000000"/>
                <w:sz w:val="24"/>
              </w:rPr>
            </w:pPr>
          </w:p>
        </w:tc>
        <w:tc>
          <w:tcPr>
            <w:tcW w:w="0" w:type="auto"/>
            <w:tcBorders>
              <w:top w:val="nil"/>
              <w:left w:val="nil"/>
              <w:bottom w:val="nil"/>
              <w:right w:val="nil"/>
            </w:tcBorders>
            <w:shd w:val="clear" w:color="auto" w:fill="auto"/>
            <w:vAlign w:val="center"/>
          </w:tcPr>
          <w:p>
            <w:pPr>
              <w:rPr>
                <w:rFonts w:ascii="宋体" w:hAnsi="宋体" w:eastAsia="宋体" w:cs="宋体"/>
                <w:color w:val="000000"/>
                <w:sz w:val="24"/>
              </w:rPr>
            </w:pPr>
          </w:p>
        </w:tc>
        <w:tc>
          <w:tcPr>
            <w:tcW w:w="0" w:type="auto"/>
            <w:tcBorders>
              <w:top w:val="nil"/>
              <w:left w:val="nil"/>
              <w:bottom w:val="nil"/>
              <w:right w:val="nil"/>
            </w:tcBorders>
            <w:shd w:val="clear" w:color="auto" w:fill="auto"/>
            <w:vAlign w:val="center"/>
          </w:tcPr>
          <w:p>
            <w:pPr>
              <w:rPr>
                <w:rFonts w:ascii="宋体" w:hAnsi="宋体" w:eastAsia="宋体" w:cs="宋体"/>
                <w:color w:val="000000"/>
                <w:sz w:val="24"/>
              </w:rPr>
            </w:pPr>
          </w:p>
        </w:tc>
        <w:tc>
          <w:tcPr>
            <w:tcW w:w="0" w:type="auto"/>
            <w:tcBorders>
              <w:top w:val="nil"/>
              <w:left w:val="nil"/>
              <w:bottom w:val="nil"/>
              <w:right w:val="nil"/>
            </w:tcBorders>
            <w:shd w:val="clear" w:color="auto" w:fill="auto"/>
            <w:vAlign w:val="center"/>
          </w:tcPr>
          <w:p>
            <w:pPr>
              <w:rPr>
                <w:rFonts w:ascii="宋体" w:hAnsi="宋体" w:eastAsia="宋体" w:cs="宋体"/>
                <w:color w:val="000000"/>
                <w:sz w:val="24"/>
              </w:rPr>
            </w:pPr>
          </w:p>
        </w:tc>
        <w:tc>
          <w:tcPr>
            <w:tcW w:w="0" w:type="auto"/>
            <w:tcBorders>
              <w:top w:val="nil"/>
              <w:left w:val="nil"/>
              <w:bottom w:val="nil"/>
              <w:right w:val="nil"/>
            </w:tcBorders>
            <w:shd w:val="clear" w:color="auto" w:fill="auto"/>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trHeight w:val="405" w:hRule="atLeast"/>
        </w:trPr>
        <w:tc>
          <w:tcPr>
            <w:tcW w:w="0" w:type="auto"/>
            <w:gridSpan w:val="9"/>
            <w:tcBorders>
              <w:top w:val="nil"/>
              <w:left w:val="nil"/>
              <w:bottom w:val="nil"/>
              <w:right w:val="nil"/>
            </w:tcBorders>
            <w:shd w:val="clear" w:color="auto" w:fill="auto"/>
            <w:vAlign w:val="center"/>
          </w:tcPr>
          <w:p>
            <w:pPr>
              <w:widowControl/>
              <w:jc w:val="center"/>
              <w:textAlignment w:val="center"/>
              <w:rPr>
                <w:rFonts w:ascii="宋体" w:hAnsi="宋体" w:eastAsia="宋体" w:cs="宋体"/>
                <w:b/>
                <w:bCs/>
                <w:color w:val="000000"/>
                <w:sz w:val="32"/>
                <w:szCs w:val="32"/>
              </w:rPr>
            </w:pPr>
            <w:r>
              <w:rPr>
                <w:rFonts w:hint="eastAsia" w:ascii="宋体" w:hAnsi="宋体" w:eastAsia="宋体" w:cs="宋体"/>
                <w:b/>
                <w:bCs/>
                <w:color w:val="000000"/>
                <w:kern w:val="0"/>
                <w:sz w:val="32"/>
                <w:szCs w:val="32"/>
                <w:lang w:bidi="ar"/>
              </w:rPr>
              <w:t>普惠金融发展专项资金绩效目标自评表（样表）</w:t>
            </w:r>
          </w:p>
        </w:tc>
      </w:tr>
      <w:tr>
        <w:tblPrEx>
          <w:tblCellMar>
            <w:top w:w="0" w:type="dxa"/>
            <w:left w:w="108" w:type="dxa"/>
            <w:bottom w:w="0" w:type="dxa"/>
            <w:right w:w="108" w:type="dxa"/>
          </w:tblCellMar>
        </w:tblPrEx>
        <w:trPr>
          <w:trHeight w:val="285" w:hRule="atLeast"/>
        </w:trPr>
        <w:tc>
          <w:tcPr>
            <w:tcW w:w="0" w:type="auto"/>
            <w:gridSpan w:val="9"/>
            <w:tcBorders>
              <w:top w:val="nil"/>
              <w:left w:val="nil"/>
              <w:bottom w:val="single" w:color="000000" w:sz="4" w:space="0"/>
              <w:right w:val="nil"/>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（202x年度）</w:t>
            </w:r>
          </w:p>
        </w:tc>
      </w:tr>
      <w:tr>
        <w:tblPrEx>
          <w:tblCellMar>
            <w:top w:w="0" w:type="dxa"/>
            <w:left w:w="108" w:type="dxa"/>
            <w:bottom w:w="0" w:type="dxa"/>
            <w:right w:w="108" w:type="dxa"/>
          </w:tblCellMar>
        </w:tblPrEx>
        <w:trPr>
          <w:trHeight w:val="55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专项名称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普惠金融发展专项资金</w:t>
            </w:r>
          </w:p>
        </w:tc>
      </w:tr>
      <w:tr>
        <w:tblPrEx>
          <w:tblCellMar>
            <w:top w:w="0" w:type="dxa"/>
            <w:left w:w="108" w:type="dxa"/>
            <w:bottom w:w="0" w:type="dxa"/>
            <w:right w:w="108" w:type="dxa"/>
          </w:tblCellMar>
        </w:tblPrEx>
        <w:trPr>
          <w:trHeight w:val="5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市级主管部门</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重庆市财政局</w:t>
            </w:r>
          </w:p>
        </w:tc>
      </w:tr>
      <w:tr>
        <w:tblPrEx>
          <w:tblCellMar>
            <w:top w:w="0" w:type="dxa"/>
            <w:left w:w="108" w:type="dxa"/>
            <w:bottom w:w="0" w:type="dxa"/>
            <w:right w:w="108" w:type="dxa"/>
          </w:tblCellMar>
        </w:tblPrEx>
        <w:trPr>
          <w:trHeight w:val="85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当地财政部门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XX县财政局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当地主管部门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529"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资金</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情况</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  年度金额：</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529"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其中：中央补助</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529"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地方资金</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126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年度总体目标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目标1：支持农村金融组织体系建设，扩大农村金融服务覆盖面。</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目标2：支持劳动者自主创业、自谋职业，推动解决特殊困难群体的结构性就业矛盾。</w:t>
            </w:r>
          </w:p>
        </w:tc>
      </w:tr>
      <w:tr>
        <w:tblPrEx>
          <w:tblCellMar>
            <w:top w:w="0" w:type="dxa"/>
            <w:left w:w="108" w:type="dxa"/>
            <w:bottom w:w="0" w:type="dxa"/>
            <w:right w:w="108" w:type="dxa"/>
          </w:tblCellMar>
        </w:tblPrEx>
        <w:trPr>
          <w:trHeight w:val="87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绩</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效</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指</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一级</w:t>
            </w:r>
            <w:r>
              <w:rPr>
                <w:rFonts w:hint="eastAsia" w:ascii="宋体" w:hAnsi="宋体" w:eastAsia="宋体" w:cs="宋体"/>
                <w:b/>
                <w:bCs/>
                <w:color w:val="000000"/>
                <w:kern w:val="0"/>
                <w:sz w:val="20"/>
                <w:szCs w:val="20"/>
                <w:lang w:bidi="ar"/>
              </w:rPr>
              <w:br w:type="textWrapping"/>
            </w:r>
            <w:r>
              <w:rPr>
                <w:rFonts w:hint="eastAsia" w:ascii="宋体" w:hAnsi="宋体" w:eastAsia="宋体" w:cs="宋体"/>
                <w:b/>
                <w:bCs/>
                <w:color w:val="000000"/>
                <w:kern w:val="0"/>
                <w:sz w:val="20"/>
                <w:szCs w:val="20"/>
                <w:lang w:bidi="ar"/>
              </w:rPr>
              <w:t>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二级指标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未完成原因和改进措施</w:t>
            </w:r>
          </w:p>
        </w:tc>
      </w:tr>
      <w:tr>
        <w:tblPrEx>
          <w:tblCellMar>
            <w:top w:w="0" w:type="dxa"/>
            <w:left w:w="108" w:type="dxa"/>
            <w:bottom w:w="0" w:type="dxa"/>
            <w:right w:w="108" w:type="dxa"/>
          </w:tblCellMar>
        </w:tblPrEx>
        <w:trPr>
          <w:trHeight w:val="10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产</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出</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指</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创业担保贷款发放额增长率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11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12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5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trHeight w:val="75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经济效益指标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trHeight w:val="75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社会效益</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trHeight w:val="75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服务对象</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满意度指标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trHeight w:val="75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trHeight w:val="75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bl>
    <w:p>
      <w:pPr>
        <w:tabs>
          <w:tab w:val="left" w:pos="1547"/>
        </w:tabs>
        <w:rPr>
          <w:rFonts w:ascii="方正仿宋_GBK" w:hAnsi="方正仿宋_GBK" w:eastAsia="方正仿宋_GBK" w:cs="方正仿宋_GBK"/>
          <w:sz w:val="32"/>
          <w:szCs w:val="32"/>
        </w:rPr>
        <w:sectPr>
          <w:headerReference r:id="rId11" w:type="default"/>
          <w:footerReference r:id="rId12" w:type="default"/>
          <w:pgSz w:w="11906" w:h="16838"/>
          <w:pgMar w:top="1962" w:right="1474" w:bottom="1962" w:left="1587" w:header="680" w:footer="794" w:gutter="0"/>
          <w:pgNumType w:fmt="numberInDash"/>
          <w:cols w:space="0" w:num="1"/>
          <w:docGrid w:type="lines" w:linePitch="312" w:charSpace="0"/>
        </w:sectPr>
      </w:pPr>
    </w:p>
    <w:tbl>
      <w:tblPr>
        <w:tblStyle w:val="8"/>
        <w:tblW w:w="0" w:type="auto"/>
        <w:tblInd w:w="93" w:type="dxa"/>
        <w:tblLayout w:type="autofit"/>
        <w:tblCellMar>
          <w:top w:w="0" w:type="dxa"/>
          <w:left w:w="108" w:type="dxa"/>
          <w:bottom w:w="0" w:type="dxa"/>
          <w:right w:w="108" w:type="dxa"/>
        </w:tblCellMar>
      </w:tblPr>
      <w:tblGrid>
        <w:gridCol w:w="1600"/>
        <w:gridCol w:w="2376"/>
        <w:gridCol w:w="2219"/>
        <w:gridCol w:w="1677"/>
        <w:gridCol w:w="966"/>
        <w:gridCol w:w="1176"/>
        <w:gridCol w:w="696"/>
        <w:gridCol w:w="1176"/>
      </w:tblGrid>
      <w:tr>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widowControl/>
              <w:jc w:val="left"/>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附件3-2</w:t>
            </w:r>
          </w:p>
        </w:tc>
        <w:tc>
          <w:tcPr>
            <w:tcW w:w="0" w:type="auto"/>
            <w:tcBorders>
              <w:top w:val="nil"/>
              <w:left w:val="nil"/>
              <w:bottom w:val="nil"/>
              <w:right w:val="nil"/>
            </w:tcBorders>
            <w:shd w:val="clear" w:color="auto" w:fill="auto"/>
            <w:noWrap/>
            <w:vAlign w:val="center"/>
          </w:tcPr>
          <w:p>
            <w:pPr>
              <w:rPr>
                <w:rFonts w:ascii="黑体" w:hAnsi="宋体" w:eastAsia="黑体" w:cs="黑体"/>
                <w:color w:val="000000"/>
                <w:sz w:val="24"/>
              </w:rPr>
            </w:pPr>
          </w:p>
        </w:tc>
        <w:tc>
          <w:tcPr>
            <w:tcW w:w="1946" w:type="dxa"/>
            <w:tcBorders>
              <w:top w:val="nil"/>
              <w:left w:val="nil"/>
              <w:bottom w:val="nil"/>
              <w:right w:val="nil"/>
            </w:tcBorders>
            <w:shd w:val="clear" w:color="auto" w:fill="auto"/>
            <w:noWrap/>
            <w:vAlign w:val="center"/>
          </w:tcPr>
          <w:p>
            <w:pPr>
              <w:widowControl/>
              <w:jc w:val="left"/>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 xml:space="preserve"> </w:t>
            </w:r>
          </w:p>
        </w:tc>
        <w:tc>
          <w:tcPr>
            <w:tcW w:w="1471" w:type="dxa"/>
            <w:tcBorders>
              <w:top w:val="nil"/>
              <w:left w:val="nil"/>
              <w:bottom w:val="nil"/>
              <w:right w:val="nil"/>
            </w:tcBorders>
            <w:shd w:val="clear" w:color="auto" w:fill="auto"/>
            <w:noWrap/>
            <w:vAlign w:val="center"/>
          </w:tcPr>
          <w:p>
            <w:pPr>
              <w:rPr>
                <w:rFonts w:ascii="等线" w:hAnsi="等线" w:eastAsia="等线" w:cs="等线"/>
                <w:color w:val="000000"/>
                <w:sz w:val="20"/>
                <w:szCs w:val="20"/>
              </w:rPr>
            </w:pPr>
          </w:p>
        </w:tc>
        <w:tc>
          <w:tcPr>
            <w:tcW w:w="966" w:type="dxa"/>
            <w:tcBorders>
              <w:top w:val="nil"/>
              <w:left w:val="nil"/>
              <w:bottom w:val="nil"/>
              <w:right w:val="nil"/>
            </w:tcBorders>
            <w:shd w:val="clear" w:color="auto" w:fill="auto"/>
            <w:noWrap/>
            <w:vAlign w:val="center"/>
          </w:tcPr>
          <w:p>
            <w:pPr>
              <w:jc w:val="center"/>
              <w:rPr>
                <w:rFonts w:ascii="等线" w:hAnsi="等线" w:eastAsia="等线" w:cs="等线"/>
                <w:color w:val="000000"/>
                <w:sz w:val="20"/>
                <w:szCs w:val="20"/>
              </w:rPr>
            </w:pPr>
          </w:p>
        </w:tc>
        <w:tc>
          <w:tcPr>
            <w:tcW w:w="0" w:type="auto"/>
            <w:tcBorders>
              <w:top w:val="nil"/>
              <w:left w:val="nil"/>
              <w:bottom w:val="nil"/>
              <w:right w:val="nil"/>
            </w:tcBorders>
            <w:shd w:val="clear" w:color="auto" w:fill="auto"/>
            <w:vAlign w:val="center"/>
          </w:tcPr>
          <w:p>
            <w:pPr>
              <w:rPr>
                <w:rFonts w:ascii="等线" w:hAnsi="等线" w:eastAsia="等线" w:cs="等线"/>
                <w:color w:val="000000"/>
                <w:sz w:val="20"/>
                <w:szCs w:val="20"/>
              </w:rPr>
            </w:pPr>
          </w:p>
        </w:tc>
        <w:tc>
          <w:tcPr>
            <w:tcW w:w="0" w:type="auto"/>
            <w:tcBorders>
              <w:top w:val="nil"/>
              <w:left w:val="nil"/>
              <w:bottom w:val="nil"/>
              <w:right w:val="nil"/>
            </w:tcBorders>
            <w:shd w:val="clear" w:color="auto" w:fill="auto"/>
            <w:noWrap/>
            <w:vAlign w:val="center"/>
          </w:tcPr>
          <w:p>
            <w:pPr>
              <w:jc w:val="center"/>
              <w:rPr>
                <w:rFonts w:ascii="等线" w:hAnsi="等线" w:eastAsia="等线" w:cs="等线"/>
                <w:color w:val="000000"/>
                <w:sz w:val="20"/>
                <w:szCs w:val="20"/>
              </w:rPr>
            </w:pPr>
          </w:p>
        </w:tc>
        <w:tc>
          <w:tcPr>
            <w:tcW w:w="0" w:type="auto"/>
            <w:tcBorders>
              <w:top w:val="nil"/>
              <w:left w:val="nil"/>
              <w:bottom w:val="nil"/>
              <w:right w:val="nil"/>
            </w:tcBorders>
            <w:shd w:val="clear" w:color="auto" w:fill="auto"/>
            <w:noWrap/>
            <w:vAlign w:val="center"/>
          </w:tcPr>
          <w:p>
            <w:pPr>
              <w:rPr>
                <w:rFonts w:ascii="等线" w:hAnsi="等线" w:eastAsia="等线" w:cs="等线"/>
                <w:color w:val="000000"/>
                <w:sz w:val="20"/>
                <w:szCs w:val="20"/>
              </w:rPr>
            </w:pPr>
          </w:p>
        </w:tc>
      </w:tr>
      <w:tr>
        <w:tblPrEx>
          <w:tblCellMar>
            <w:top w:w="0" w:type="dxa"/>
            <w:left w:w="108" w:type="dxa"/>
            <w:bottom w:w="0" w:type="dxa"/>
            <w:right w:w="108" w:type="dxa"/>
          </w:tblCellMar>
        </w:tblPrEx>
        <w:trPr>
          <w:trHeight w:val="540" w:hRule="atLeast"/>
        </w:trPr>
        <w:tc>
          <w:tcPr>
            <w:tcW w:w="0" w:type="auto"/>
            <w:gridSpan w:val="8"/>
            <w:tcBorders>
              <w:top w:val="nil"/>
              <w:left w:val="nil"/>
              <w:bottom w:val="nil"/>
              <w:right w:val="nil"/>
            </w:tcBorders>
            <w:shd w:val="clear" w:color="auto" w:fill="auto"/>
            <w:noWrap/>
            <w:vAlign w:val="center"/>
          </w:tcPr>
          <w:p>
            <w:pPr>
              <w:widowControl/>
              <w:jc w:val="center"/>
              <w:textAlignment w:val="center"/>
              <w:rPr>
                <w:rFonts w:ascii="黑体" w:hAnsi="宋体" w:eastAsia="黑体" w:cs="黑体"/>
                <w:color w:val="000000"/>
                <w:sz w:val="44"/>
                <w:szCs w:val="44"/>
              </w:rPr>
            </w:pPr>
            <w:r>
              <w:rPr>
                <w:rFonts w:hint="eastAsia" w:ascii="黑体" w:hAnsi="宋体" w:eastAsia="黑体" w:cs="黑体"/>
                <w:color w:val="000000"/>
                <w:kern w:val="0"/>
                <w:sz w:val="44"/>
                <w:szCs w:val="44"/>
                <w:lang w:bidi="ar"/>
              </w:rPr>
              <w:t>202x年普惠金融发展专项资金绩效评价自评表</w:t>
            </w:r>
          </w:p>
        </w:tc>
      </w:tr>
      <w:tr>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rPr>
                <w:rFonts w:ascii="等线" w:hAnsi="等线" w:eastAsia="等线" w:cs="等线"/>
                <w:color w:val="000000"/>
                <w:sz w:val="22"/>
                <w:szCs w:val="22"/>
              </w:rPr>
            </w:pPr>
          </w:p>
        </w:tc>
        <w:tc>
          <w:tcPr>
            <w:tcW w:w="0" w:type="auto"/>
            <w:tcBorders>
              <w:top w:val="nil"/>
              <w:left w:val="nil"/>
              <w:bottom w:val="nil"/>
              <w:right w:val="nil"/>
            </w:tcBorders>
            <w:shd w:val="clear" w:color="auto" w:fill="auto"/>
            <w:noWrap/>
            <w:vAlign w:val="center"/>
          </w:tcPr>
          <w:p>
            <w:pPr>
              <w:rPr>
                <w:rFonts w:ascii="等线" w:hAnsi="等线" w:eastAsia="等线" w:cs="等线"/>
                <w:color w:val="000000"/>
                <w:sz w:val="22"/>
                <w:szCs w:val="22"/>
              </w:rPr>
            </w:pPr>
          </w:p>
        </w:tc>
        <w:tc>
          <w:tcPr>
            <w:tcW w:w="1946" w:type="dxa"/>
            <w:tcBorders>
              <w:top w:val="nil"/>
              <w:left w:val="nil"/>
              <w:bottom w:val="nil"/>
              <w:right w:val="nil"/>
            </w:tcBorders>
            <w:shd w:val="clear" w:color="auto" w:fill="auto"/>
            <w:noWrap/>
            <w:vAlign w:val="center"/>
          </w:tcPr>
          <w:p>
            <w:pPr>
              <w:rPr>
                <w:rFonts w:ascii="等线" w:hAnsi="等线" w:eastAsia="等线" w:cs="等线"/>
                <w:color w:val="000000"/>
                <w:sz w:val="22"/>
                <w:szCs w:val="22"/>
              </w:rPr>
            </w:pPr>
          </w:p>
        </w:tc>
        <w:tc>
          <w:tcPr>
            <w:tcW w:w="1471" w:type="dxa"/>
            <w:tcBorders>
              <w:top w:val="nil"/>
              <w:left w:val="nil"/>
              <w:bottom w:val="nil"/>
              <w:right w:val="nil"/>
            </w:tcBorders>
            <w:shd w:val="clear" w:color="auto" w:fill="auto"/>
            <w:noWrap/>
            <w:vAlign w:val="center"/>
          </w:tcPr>
          <w:p>
            <w:pPr>
              <w:rPr>
                <w:rFonts w:ascii="等线" w:hAnsi="等线" w:eastAsia="等线" w:cs="等线"/>
                <w:color w:val="000000"/>
                <w:sz w:val="22"/>
                <w:szCs w:val="22"/>
              </w:rPr>
            </w:pPr>
          </w:p>
        </w:tc>
        <w:tc>
          <w:tcPr>
            <w:tcW w:w="966" w:type="dxa"/>
            <w:tcBorders>
              <w:top w:val="nil"/>
              <w:left w:val="nil"/>
              <w:bottom w:val="nil"/>
              <w:right w:val="nil"/>
            </w:tcBorders>
            <w:shd w:val="clear" w:color="auto" w:fill="auto"/>
            <w:noWrap/>
            <w:vAlign w:val="center"/>
          </w:tcPr>
          <w:p>
            <w:pPr>
              <w:rPr>
                <w:rFonts w:ascii="等线" w:hAnsi="等线" w:eastAsia="等线" w:cs="等线"/>
                <w:color w:val="000000"/>
                <w:sz w:val="22"/>
                <w:szCs w:val="22"/>
              </w:rPr>
            </w:pPr>
          </w:p>
        </w:tc>
        <w:tc>
          <w:tcPr>
            <w:tcW w:w="0" w:type="auto"/>
            <w:tcBorders>
              <w:top w:val="nil"/>
              <w:left w:val="nil"/>
              <w:bottom w:val="nil"/>
              <w:right w:val="nil"/>
            </w:tcBorders>
            <w:shd w:val="clear" w:color="auto" w:fill="auto"/>
            <w:noWrap/>
            <w:vAlign w:val="center"/>
          </w:tcPr>
          <w:p>
            <w:pPr>
              <w:rPr>
                <w:rFonts w:ascii="等线" w:hAnsi="等线" w:eastAsia="等线" w:cs="等线"/>
                <w:color w:val="000000"/>
                <w:sz w:val="22"/>
                <w:szCs w:val="22"/>
              </w:rPr>
            </w:pPr>
          </w:p>
        </w:tc>
        <w:tc>
          <w:tcPr>
            <w:tcW w:w="0" w:type="auto"/>
            <w:tcBorders>
              <w:top w:val="nil"/>
              <w:left w:val="nil"/>
              <w:bottom w:val="nil"/>
              <w:right w:val="nil"/>
            </w:tcBorders>
            <w:shd w:val="clear" w:color="auto" w:fill="auto"/>
            <w:noWrap/>
            <w:vAlign w:val="center"/>
          </w:tcPr>
          <w:p>
            <w:pPr>
              <w:jc w:val="center"/>
              <w:rPr>
                <w:rFonts w:ascii="等线" w:hAnsi="等线" w:eastAsia="等线" w:cs="等线"/>
                <w:color w:val="000000"/>
                <w:sz w:val="22"/>
                <w:szCs w:val="22"/>
              </w:rPr>
            </w:pPr>
          </w:p>
        </w:tc>
        <w:tc>
          <w:tcPr>
            <w:tcW w:w="0" w:type="auto"/>
            <w:tcBorders>
              <w:top w:val="nil"/>
              <w:left w:val="nil"/>
              <w:bottom w:val="nil"/>
              <w:right w:val="nil"/>
            </w:tcBorders>
            <w:shd w:val="clear" w:color="auto" w:fill="auto"/>
            <w:noWrap/>
            <w:vAlign w:val="center"/>
          </w:tcPr>
          <w:p>
            <w:pPr>
              <w:rPr>
                <w:rFonts w:ascii="等线" w:hAnsi="等线" w:eastAsia="等线" w:cs="等线"/>
                <w:color w:val="000000"/>
                <w:sz w:val="22"/>
                <w:szCs w:val="22"/>
              </w:rPr>
            </w:pPr>
          </w:p>
        </w:tc>
      </w:tr>
      <w:tr>
        <w:tblPrEx>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一级</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二级指标</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三级指标</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指标说明</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标准分值</w:t>
            </w:r>
          </w:p>
        </w:tc>
        <w:tc>
          <w:tcPr>
            <w:tcW w:w="0" w:type="auto"/>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评分标准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评分说明</w:t>
            </w:r>
          </w:p>
        </w:tc>
      </w:tr>
      <w:tr>
        <w:tblPrEx>
          <w:tblCellMar>
            <w:top w:w="0" w:type="dxa"/>
            <w:left w:w="108" w:type="dxa"/>
            <w:bottom w:w="0" w:type="dxa"/>
            <w:right w:w="108" w:type="dxa"/>
          </w:tblCellMar>
        </w:tblPrEx>
        <w:trPr>
          <w:trHeight w:val="19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产</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出</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指</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数量指标</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4"/>
              </w:rPr>
            </w:pPr>
          </w:p>
        </w:tc>
      </w:tr>
      <w:tr>
        <w:tblPrEx>
          <w:tblCellMar>
            <w:top w:w="0" w:type="dxa"/>
            <w:left w:w="108" w:type="dxa"/>
            <w:bottom w:w="0" w:type="dxa"/>
            <w:right w:w="108" w:type="dxa"/>
          </w:tblCellMar>
        </w:tblPrEx>
        <w:trPr>
          <w:trHeight w:val="19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 w:hAnsi="仿宋" w:eastAsia="仿宋" w:cs="仿宋"/>
                <w:color w:val="000000"/>
                <w:sz w:val="24"/>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4"/>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4"/>
              </w:rPr>
            </w:pPr>
          </w:p>
        </w:tc>
      </w:tr>
      <w:tr>
        <w:tblPrEx>
          <w:tblCellMar>
            <w:top w:w="0" w:type="dxa"/>
            <w:left w:w="108" w:type="dxa"/>
            <w:bottom w:w="0" w:type="dxa"/>
            <w:right w:w="108" w:type="dxa"/>
          </w:tblCellMar>
        </w:tblPrEx>
        <w:trPr>
          <w:trHeight w:val="19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质量指标</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4"/>
              </w:rPr>
            </w:pPr>
          </w:p>
        </w:tc>
      </w:tr>
      <w:tr>
        <w:tblPrEx>
          <w:tblCellMar>
            <w:top w:w="0" w:type="dxa"/>
            <w:left w:w="108" w:type="dxa"/>
            <w:bottom w:w="0" w:type="dxa"/>
            <w:right w:w="108" w:type="dxa"/>
          </w:tblCellMar>
        </w:tblPrEx>
        <w:trPr>
          <w:trHeight w:val="19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4"/>
              </w:rPr>
            </w:pPr>
          </w:p>
        </w:tc>
      </w:tr>
      <w:tr>
        <w:tblPrEx>
          <w:tblCellMar>
            <w:top w:w="0" w:type="dxa"/>
            <w:left w:w="108" w:type="dxa"/>
            <w:bottom w:w="0" w:type="dxa"/>
            <w:right w:w="108" w:type="dxa"/>
          </w:tblCellMar>
        </w:tblPrEx>
        <w:trPr>
          <w:trHeight w:val="19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4"/>
              </w:rPr>
            </w:pPr>
          </w:p>
        </w:tc>
      </w:tr>
      <w:tr>
        <w:tblPrEx>
          <w:tblCellMar>
            <w:top w:w="0" w:type="dxa"/>
            <w:left w:w="108" w:type="dxa"/>
            <w:bottom w:w="0" w:type="dxa"/>
            <w:right w:w="108" w:type="dxa"/>
          </w:tblCellMar>
        </w:tblPrEx>
        <w:trPr>
          <w:trHeight w:val="19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4"/>
              </w:rPr>
            </w:pPr>
          </w:p>
        </w:tc>
      </w:tr>
      <w:tr>
        <w:tblPrEx>
          <w:tblCellMar>
            <w:top w:w="0" w:type="dxa"/>
            <w:left w:w="108" w:type="dxa"/>
            <w:bottom w:w="0" w:type="dxa"/>
            <w:right w:w="108" w:type="dxa"/>
          </w:tblCellMar>
        </w:tblPrEx>
        <w:trPr>
          <w:trHeight w:val="19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管理指标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资金使用规范性指标</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4"/>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sz w:val="24"/>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4"/>
              </w:rPr>
            </w:pPr>
          </w:p>
        </w:tc>
      </w:tr>
      <w:tr>
        <w:tblPrEx>
          <w:tblCellMar>
            <w:top w:w="0" w:type="dxa"/>
            <w:left w:w="108" w:type="dxa"/>
            <w:bottom w:w="0" w:type="dxa"/>
            <w:right w:w="108" w:type="dxa"/>
          </w:tblCellMar>
        </w:tblPrEx>
        <w:trPr>
          <w:trHeight w:val="19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资金核算合规性指标</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sz w:val="24"/>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4"/>
              </w:rPr>
            </w:pPr>
          </w:p>
        </w:tc>
      </w:tr>
      <w:tr>
        <w:tblPrEx>
          <w:tblCellMar>
            <w:top w:w="0" w:type="dxa"/>
            <w:left w:w="108" w:type="dxa"/>
            <w:bottom w:w="0" w:type="dxa"/>
            <w:right w:w="108" w:type="dxa"/>
          </w:tblCellMar>
        </w:tblPrEx>
        <w:trPr>
          <w:trHeight w:val="19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项目管理规范性指标</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4"/>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4"/>
              </w:rPr>
            </w:pPr>
          </w:p>
        </w:tc>
      </w:tr>
      <w:tr>
        <w:tblPrEx>
          <w:tblCellMar>
            <w:top w:w="0" w:type="dxa"/>
            <w:left w:w="108" w:type="dxa"/>
            <w:bottom w:w="0" w:type="dxa"/>
            <w:right w:w="108" w:type="dxa"/>
          </w:tblCellMar>
        </w:tblPrEx>
        <w:trPr>
          <w:trHeight w:val="1920" w:hRule="atLeast"/>
        </w:trPr>
        <w:tc>
          <w:tcPr>
            <w:tcW w:w="0" w:type="auto"/>
            <w:vMerge w:val="restart"/>
            <w:tcBorders>
              <w:top w:val="nil"/>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效益指标</w:t>
            </w:r>
          </w:p>
        </w:tc>
        <w:tc>
          <w:tcPr>
            <w:tcW w:w="0" w:type="auto"/>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经济效益指标</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4"/>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4"/>
              </w:rPr>
            </w:pPr>
          </w:p>
        </w:tc>
      </w:tr>
      <w:tr>
        <w:tblPrEx>
          <w:tblCellMar>
            <w:top w:w="0" w:type="dxa"/>
            <w:left w:w="108" w:type="dxa"/>
            <w:bottom w:w="0" w:type="dxa"/>
            <w:right w:w="108" w:type="dxa"/>
          </w:tblCellMar>
        </w:tblPrEx>
        <w:trPr>
          <w:trHeight w:val="1920" w:hRule="atLeast"/>
        </w:trPr>
        <w:tc>
          <w:tcPr>
            <w:tcW w:w="0" w:type="auto"/>
            <w:vMerge w:val="continue"/>
            <w:tcBorders>
              <w:top w:val="nil"/>
              <w:left w:val="single" w:color="000000" w:sz="4" w:space="0"/>
              <w:bottom w:val="nil"/>
              <w:right w:val="single" w:color="000000" w:sz="4" w:space="0"/>
            </w:tcBorders>
            <w:shd w:val="clear" w:color="auto" w:fill="auto"/>
            <w:vAlign w:val="center"/>
          </w:tcPr>
          <w:p>
            <w:pPr>
              <w:jc w:val="center"/>
              <w:rPr>
                <w:rFonts w:ascii="仿宋" w:hAnsi="仿宋" w:eastAsia="仿宋" w:cs="仿宋"/>
                <w:color w:val="000000"/>
                <w:sz w:val="24"/>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社会效益指标</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4"/>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4"/>
              </w:rPr>
            </w:pPr>
          </w:p>
        </w:tc>
      </w:tr>
      <w:tr>
        <w:tblPrEx>
          <w:tblCellMar>
            <w:top w:w="0" w:type="dxa"/>
            <w:left w:w="108" w:type="dxa"/>
            <w:bottom w:w="0" w:type="dxa"/>
            <w:right w:w="108" w:type="dxa"/>
          </w:tblCellMar>
        </w:tblPrEx>
        <w:trPr>
          <w:trHeight w:val="19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服务对象满意度指标</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sz w:val="24"/>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4"/>
              </w:rPr>
            </w:pPr>
          </w:p>
        </w:tc>
      </w:tr>
      <w:tr>
        <w:tblPrEx>
          <w:tblCellMar>
            <w:top w:w="0" w:type="dxa"/>
            <w:left w:w="108" w:type="dxa"/>
            <w:bottom w:w="0" w:type="dxa"/>
            <w:right w:w="108" w:type="dxa"/>
          </w:tblCellMar>
        </w:tblPrEx>
        <w:trPr>
          <w:trHeight w:val="19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sz w:val="24"/>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4"/>
              </w:rPr>
            </w:pPr>
          </w:p>
        </w:tc>
      </w:tr>
      <w:tr>
        <w:tblPrEx>
          <w:tblCellMar>
            <w:top w:w="0" w:type="dxa"/>
            <w:left w:w="108" w:type="dxa"/>
            <w:bottom w:w="0" w:type="dxa"/>
            <w:right w:w="108" w:type="dxa"/>
          </w:tblCellMar>
        </w:tblPrEx>
        <w:trPr>
          <w:trHeight w:val="800" w:hRule="atLeast"/>
        </w:trPr>
        <w:tc>
          <w:tcPr>
            <w:tcW w:w="73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合计</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sz w:val="24"/>
              </w:rPr>
            </w:pPr>
          </w:p>
        </w:tc>
      </w:tr>
    </w:tbl>
    <w:p>
      <w:pPr>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tbl>
      <w:tblPr>
        <w:tblStyle w:val="8"/>
        <w:tblW w:w="13065" w:type="dxa"/>
        <w:tblInd w:w="93" w:type="dxa"/>
        <w:tblLayout w:type="fixed"/>
        <w:tblCellMar>
          <w:top w:w="0" w:type="dxa"/>
          <w:left w:w="108" w:type="dxa"/>
          <w:bottom w:w="0" w:type="dxa"/>
          <w:right w:w="108" w:type="dxa"/>
        </w:tblCellMar>
      </w:tblPr>
      <w:tblGrid>
        <w:gridCol w:w="2249"/>
        <w:gridCol w:w="1456"/>
        <w:gridCol w:w="3219"/>
        <w:gridCol w:w="936"/>
        <w:gridCol w:w="1149"/>
        <w:gridCol w:w="936"/>
        <w:gridCol w:w="1149"/>
        <w:gridCol w:w="893"/>
        <w:gridCol w:w="1078"/>
      </w:tblGrid>
      <w:tr>
        <w:tblPrEx>
          <w:tblCellMar>
            <w:top w:w="0" w:type="dxa"/>
            <w:left w:w="108" w:type="dxa"/>
            <w:bottom w:w="0" w:type="dxa"/>
            <w:right w:w="108" w:type="dxa"/>
          </w:tblCellMar>
        </w:tblPrEx>
        <w:trPr>
          <w:trHeight w:val="315" w:hRule="atLeast"/>
        </w:trPr>
        <w:tc>
          <w:tcPr>
            <w:tcW w:w="2249" w:type="dxa"/>
            <w:tcBorders>
              <w:top w:val="nil"/>
              <w:left w:val="nil"/>
              <w:bottom w:val="nil"/>
              <w:right w:val="nil"/>
            </w:tcBorders>
            <w:shd w:val="clear" w:color="auto" w:fill="auto"/>
            <w:noWrap/>
            <w:vAlign w:val="center"/>
          </w:tcPr>
          <w:p>
            <w:pPr>
              <w:widowControl/>
              <w:jc w:val="left"/>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附件4</w:t>
            </w:r>
          </w:p>
        </w:tc>
        <w:tc>
          <w:tcPr>
            <w:tcW w:w="1456" w:type="dxa"/>
            <w:tcBorders>
              <w:top w:val="nil"/>
              <w:left w:val="nil"/>
              <w:bottom w:val="nil"/>
              <w:right w:val="nil"/>
            </w:tcBorders>
            <w:shd w:val="clear" w:color="auto" w:fill="auto"/>
            <w:noWrap/>
            <w:vAlign w:val="center"/>
          </w:tcPr>
          <w:p>
            <w:pPr>
              <w:rPr>
                <w:rFonts w:ascii="等线" w:hAnsi="等线" w:eastAsia="等线" w:cs="等线"/>
                <w:color w:val="000000"/>
                <w:sz w:val="22"/>
                <w:szCs w:val="22"/>
              </w:rPr>
            </w:pPr>
          </w:p>
        </w:tc>
        <w:tc>
          <w:tcPr>
            <w:tcW w:w="3219" w:type="dxa"/>
            <w:tcBorders>
              <w:top w:val="nil"/>
              <w:left w:val="nil"/>
              <w:bottom w:val="nil"/>
              <w:right w:val="nil"/>
            </w:tcBorders>
            <w:shd w:val="clear" w:color="auto" w:fill="auto"/>
            <w:vAlign w:val="center"/>
          </w:tcPr>
          <w:p>
            <w:pPr>
              <w:jc w:val="left"/>
              <w:rPr>
                <w:rFonts w:ascii="Times New Roman" w:hAnsi="Times New Roman" w:eastAsia="等线" w:cs="Times New Roman"/>
                <w:color w:val="000000"/>
                <w:sz w:val="22"/>
                <w:szCs w:val="22"/>
              </w:rPr>
            </w:pPr>
          </w:p>
        </w:tc>
        <w:tc>
          <w:tcPr>
            <w:tcW w:w="936" w:type="dxa"/>
            <w:tcBorders>
              <w:top w:val="nil"/>
              <w:left w:val="nil"/>
              <w:bottom w:val="nil"/>
              <w:right w:val="nil"/>
            </w:tcBorders>
            <w:shd w:val="clear" w:color="auto" w:fill="auto"/>
            <w:noWrap/>
            <w:vAlign w:val="center"/>
          </w:tcPr>
          <w:p>
            <w:pPr>
              <w:rPr>
                <w:rFonts w:ascii="等线" w:hAnsi="等线" w:eastAsia="等线" w:cs="等线"/>
                <w:color w:val="000000"/>
                <w:sz w:val="22"/>
                <w:szCs w:val="22"/>
              </w:rPr>
            </w:pPr>
          </w:p>
        </w:tc>
        <w:tc>
          <w:tcPr>
            <w:tcW w:w="1149" w:type="dxa"/>
            <w:tcBorders>
              <w:top w:val="nil"/>
              <w:left w:val="nil"/>
              <w:bottom w:val="nil"/>
              <w:right w:val="nil"/>
            </w:tcBorders>
            <w:shd w:val="clear" w:color="auto" w:fill="auto"/>
            <w:noWrap/>
            <w:vAlign w:val="center"/>
          </w:tcPr>
          <w:p>
            <w:pPr>
              <w:rPr>
                <w:rFonts w:ascii="等线" w:hAnsi="等线" w:eastAsia="等线" w:cs="等线"/>
                <w:color w:val="000000"/>
                <w:sz w:val="22"/>
                <w:szCs w:val="22"/>
              </w:rPr>
            </w:pPr>
          </w:p>
        </w:tc>
        <w:tc>
          <w:tcPr>
            <w:tcW w:w="936" w:type="dxa"/>
            <w:tcBorders>
              <w:top w:val="nil"/>
              <w:left w:val="nil"/>
              <w:bottom w:val="nil"/>
              <w:right w:val="nil"/>
            </w:tcBorders>
            <w:shd w:val="clear" w:color="auto" w:fill="auto"/>
            <w:noWrap/>
            <w:vAlign w:val="center"/>
          </w:tcPr>
          <w:p>
            <w:pPr>
              <w:rPr>
                <w:rFonts w:ascii="等线" w:hAnsi="等线" w:eastAsia="等线" w:cs="等线"/>
                <w:color w:val="000000"/>
                <w:sz w:val="22"/>
                <w:szCs w:val="22"/>
              </w:rPr>
            </w:pPr>
          </w:p>
        </w:tc>
        <w:tc>
          <w:tcPr>
            <w:tcW w:w="1149" w:type="dxa"/>
            <w:tcBorders>
              <w:top w:val="nil"/>
              <w:left w:val="nil"/>
              <w:bottom w:val="nil"/>
              <w:right w:val="nil"/>
            </w:tcBorders>
            <w:shd w:val="clear" w:color="auto" w:fill="auto"/>
            <w:noWrap/>
            <w:vAlign w:val="center"/>
          </w:tcPr>
          <w:p>
            <w:pPr>
              <w:rPr>
                <w:rFonts w:ascii="等线" w:hAnsi="等线" w:eastAsia="等线" w:cs="等线"/>
                <w:color w:val="000000"/>
                <w:sz w:val="22"/>
                <w:szCs w:val="22"/>
              </w:rPr>
            </w:pPr>
          </w:p>
        </w:tc>
        <w:tc>
          <w:tcPr>
            <w:tcW w:w="893" w:type="dxa"/>
            <w:tcBorders>
              <w:top w:val="nil"/>
              <w:left w:val="nil"/>
              <w:bottom w:val="nil"/>
              <w:right w:val="nil"/>
            </w:tcBorders>
            <w:shd w:val="clear" w:color="auto" w:fill="auto"/>
            <w:noWrap/>
            <w:vAlign w:val="center"/>
          </w:tcPr>
          <w:p>
            <w:pPr>
              <w:rPr>
                <w:rFonts w:ascii="等线" w:hAnsi="等线" w:eastAsia="等线" w:cs="等线"/>
                <w:color w:val="000000"/>
                <w:sz w:val="22"/>
                <w:szCs w:val="22"/>
              </w:rPr>
            </w:pPr>
          </w:p>
        </w:tc>
        <w:tc>
          <w:tcPr>
            <w:tcW w:w="1078" w:type="dxa"/>
            <w:tcBorders>
              <w:top w:val="nil"/>
              <w:left w:val="nil"/>
              <w:bottom w:val="nil"/>
              <w:right w:val="nil"/>
            </w:tcBorders>
            <w:shd w:val="clear" w:color="auto" w:fill="auto"/>
            <w:noWrap/>
            <w:vAlign w:val="center"/>
          </w:tcPr>
          <w:p>
            <w:pPr>
              <w:rPr>
                <w:rFonts w:ascii="等线" w:hAnsi="等线" w:eastAsia="等线" w:cs="等线"/>
                <w:color w:val="000000"/>
                <w:sz w:val="22"/>
                <w:szCs w:val="22"/>
              </w:rPr>
            </w:pPr>
          </w:p>
        </w:tc>
      </w:tr>
      <w:tr>
        <w:tblPrEx>
          <w:tblCellMar>
            <w:top w:w="0" w:type="dxa"/>
            <w:left w:w="108" w:type="dxa"/>
            <w:bottom w:w="0" w:type="dxa"/>
            <w:right w:w="108" w:type="dxa"/>
          </w:tblCellMar>
        </w:tblPrEx>
        <w:trPr>
          <w:trHeight w:val="480" w:hRule="atLeast"/>
        </w:trPr>
        <w:tc>
          <w:tcPr>
            <w:tcW w:w="13065" w:type="dxa"/>
            <w:gridSpan w:val="9"/>
            <w:tcBorders>
              <w:top w:val="nil"/>
              <w:left w:val="nil"/>
              <w:bottom w:val="nil"/>
              <w:right w:val="nil"/>
            </w:tcBorders>
            <w:shd w:val="clear" w:color="auto" w:fill="auto"/>
            <w:noWrap/>
            <w:vAlign w:val="center"/>
          </w:tcPr>
          <w:p>
            <w:pPr>
              <w:widowControl/>
              <w:jc w:val="center"/>
              <w:textAlignment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kern w:val="0"/>
                <w:sz w:val="36"/>
                <w:szCs w:val="36"/>
                <w:lang w:bidi="ar"/>
              </w:rPr>
              <w:t>财政支持普惠金融发展示范区评审指标表</w:t>
            </w:r>
          </w:p>
        </w:tc>
      </w:tr>
      <w:tr>
        <w:tblPrEx>
          <w:tblCellMar>
            <w:top w:w="0" w:type="dxa"/>
            <w:left w:w="108" w:type="dxa"/>
            <w:bottom w:w="0" w:type="dxa"/>
            <w:right w:w="108" w:type="dxa"/>
          </w:tblCellMar>
        </w:tblPrEx>
        <w:trPr>
          <w:trHeight w:val="315" w:hRule="atLeast"/>
        </w:trPr>
        <w:tc>
          <w:tcPr>
            <w:tcW w:w="13065" w:type="dxa"/>
            <w:gridSpan w:val="9"/>
            <w:tcBorders>
              <w:top w:val="nil"/>
              <w:left w:val="nil"/>
              <w:bottom w:val="nil"/>
              <w:right w:val="nil"/>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20XX年XX区（县、自治县）</w:t>
            </w:r>
          </w:p>
        </w:tc>
      </w:tr>
      <w:tr>
        <w:tblPrEx>
          <w:tblCellMar>
            <w:top w:w="0" w:type="dxa"/>
            <w:left w:w="108" w:type="dxa"/>
            <w:bottom w:w="0" w:type="dxa"/>
            <w:right w:w="108" w:type="dxa"/>
          </w:tblCellMar>
        </w:tblPrEx>
        <w:trPr>
          <w:trHeight w:val="315" w:hRule="atLeast"/>
        </w:trPr>
        <w:tc>
          <w:tcPr>
            <w:tcW w:w="2249" w:type="dxa"/>
            <w:tcBorders>
              <w:top w:val="nil"/>
              <w:left w:val="nil"/>
              <w:bottom w:val="nil"/>
              <w:right w:val="nil"/>
            </w:tcBorders>
            <w:shd w:val="clear" w:color="auto" w:fill="auto"/>
            <w:noWrap/>
            <w:vAlign w:val="center"/>
          </w:tcPr>
          <w:p>
            <w:pPr>
              <w:widowControl/>
              <w:jc w:val="left"/>
              <w:textAlignment w:val="center"/>
              <w:rPr>
                <w:rFonts w:ascii="Times New Roman" w:hAnsi="Times New Roman" w:eastAsia="等线" w:cs="Times New Roman"/>
                <w:color w:val="000000"/>
                <w:sz w:val="24"/>
              </w:rPr>
            </w:pPr>
            <w:r>
              <w:rPr>
                <w:rFonts w:hint="eastAsia" w:ascii="方正仿宋_GBK" w:hAnsi="方正仿宋_GBK" w:eastAsia="方正仿宋_GBK" w:cs="方正仿宋_GBK"/>
                <w:color w:val="000000"/>
                <w:kern w:val="0"/>
                <w:sz w:val="24"/>
                <w:lang w:bidi="ar"/>
              </w:rPr>
              <w:t>申报单位（盖章）：</w:t>
            </w:r>
          </w:p>
        </w:tc>
        <w:tc>
          <w:tcPr>
            <w:tcW w:w="1456" w:type="dxa"/>
            <w:tcBorders>
              <w:top w:val="nil"/>
              <w:left w:val="nil"/>
              <w:bottom w:val="nil"/>
              <w:right w:val="nil"/>
            </w:tcBorders>
            <w:shd w:val="clear" w:color="auto" w:fill="auto"/>
            <w:noWrap/>
            <w:vAlign w:val="center"/>
          </w:tcPr>
          <w:p>
            <w:pPr>
              <w:rPr>
                <w:rFonts w:ascii="Times New Roman" w:hAnsi="Times New Roman" w:eastAsia="等线" w:cs="Times New Roman"/>
                <w:color w:val="000000"/>
                <w:sz w:val="24"/>
              </w:rPr>
            </w:pPr>
          </w:p>
        </w:tc>
        <w:tc>
          <w:tcPr>
            <w:tcW w:w="3219" w:type="dxa"/>
            <w:tcBorders>
              <w:top w:val="nil"/>
              <w:left w:val="nil"/>
              <w:bottom w:val="nil"/>
              <w:right w:val="nil"/>
            </w:tcBorders>
            <w:shd w:val="clear" w:color="auto" w:fill="auto"/>
            <w:vAlign w:val="center"/>
          </w:tcPr>
          <w:p>
            <w:pPr>
              <w:jc w:val="left"/>
              <w:rPr>
                <w:rFonts w:ascii="Times New Roman" w:hAnsi="Times New Roman" w:eastAsia="等线" w:cs="Times New Roman"/>
                <w:color w:val="000000"/>
                <w:sz w:val="24"/>
              </w:rPr>
            </w:pPr>
          </w:p>
        </w:tc>
        <w:tc>
          <w:tcPr>
            <w:tcW w:w="936" w:type="dxa"/>
            <w:tcBorders>
              <w:top w:val="nil"/>
              <w:left w:val="nil"/>
              <w:bottom w:val="nil"/>
              <w:right w:val="nil"/>
            </w:tcBorders>
            <w:shd w:val="clear" w:color="auto" w:fill="auto"/>
            <w:noWrap/>
            <w:vAlign w:val="center"/>
          </w:tcPr>
          <w:p>
            <w:pPr>
              <w:rPr>
                <w:rFonts w:ascii="Times New Roman" w:hAnsi="Times New Roman" w:eastAsia="等线" w:cs="Times New Roman"/>
                <w:color w:val="000000"/>
                <w:sz w:val="24"/>
              </w:rPr>
            </w:pPr>
          </w:p>
        </w:tc>
        <w:tc>
          <w:tcPr>
            <w:tcW w:w="1149" w:type="dxa"/>
            <w:tcBorders>
              <w:top w:val="nil"/>
              <w:left w:val="nil"/>
              <w:bottom w:val="nil"/>
              <w:right w:val="nil"/>
            </w:tcBorders>
            <w:shd w:val="clear" w:color="auto" w:fill="auto"/>
            <w:noWrap/>
            <w:vAlign w:val="center"/>
          </w:tcPr>
          <w:p>
            <w:pPr>
              <w:rPr>
                <w:rFonts w:ascii="Times New Roman" w:hAnsi="Times New Roman" w:eastAsia="等线" w:cs="Times New Roman"/>
                <w:color w:val="000000"/>
                <w:sz w:val="24"/>
              </w:rPr>
            </w:pPr>
          </w:p>
        </w:tc>
        <w:tc>
          <w:tcPr>
            <w:tcW w:w="936" w:type="dxa"/>
            <w:tcBorders>
              <w:top w:val="nil"/>
              <w:left w:val="nil"/>
              <w:bottom w:val="nil"/>
              <w:right w:val="nil"/>
            </w:tcBorders>
            <w:shd w:val="clear" w:color="auto" w:fill="auto"/>
            <w:noWrap/>
            <w:vAlign w:val="center"/>
          </w:tcPr>
          <w:p>
            <w:pPr>
              <w:rPr>
                <w:rFonts w:ascii="Times New Roman" w:hAnsi="Times New Roman" w:eastAsia="等线" w:cs="Times New Roman"/>
                <w:color w:val="000000"/>
                <w:sz w:val="24"/>
              </w:rPr>
            </w:pPr>
          </w:p>
        </w:tc>
        <w:tc>
          <w:tcPr>
            <w:tcW w:w="1149" w:type="dxa"/>
            <w:tcBorders>
              <w:top w:val="nil"/>
              <w:left w:val="nil"/>
              <w:bottom w:val="nil"/>
              <w:right w:val="nil"/>
            </w:tcBorders>
            <w:shd w:val="clear" w:color="auto" w:fill="auto"/>
            <w:noWrap/>
            <w:vAlign w:val="center"/>
          </w:tcPr>
          <w:p>
            <w:pPr>
              <w:rPr>
                <w:rFonts w:ascii="Times New Roman" w:hAnsi="Times New Roman" w:eastAsia="等线" w:cs="Times New Roman"/>
                <w:color w:val="000000"/>
                <w:sz w:val="24"/>
              </w:rPr>
            </w:pPr>
          </w:p>
        </w:tc>
        <w:tc>
          <w:tcPr>
            <w:tcW w:w="1971" w:type="dxa"/>
            <w:gridSpan w:val="2"/>
            <w:tcBorders>
              <w:top w:val="nil"/>
              <w:left w:val="nil"/>
              <w:bottom w:val="single" w:color="000000" w:sz="4" w:space="0"/>
              <w:right w:val="nil"/>
            </w:tcBorders>
            <w:shd w:val="clear" w:color="auto" w:fill="auto"/>
            <w:noWrap/>
            <w:vAlign w:val="center"/>
          </w:tcPr>
          <w:p>
            <w:pPr>
              <w:widowControl/>
              <w:jc w:val="righ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单位：万元、%</w:t>
            </w:r>
          </w:p>
        </w:tc>
      </w:tr>
      <w:tr>
        <w:tblPrEx>
          <w:tblCellMar>
            <w:top w:w="0" w:type="dxa"/>
            <w:left w:w="108" w:type="dxa"/>
            <w:bottom w:w="0" w:type="dxa"/>
            <w:right w:w="108" w:type="dxa"/>
          </w:tblCellMar>
        </w:tblPrEx>
        <w:trPr>
          <w:trHeight w:val="405" w:hRule="atLeast"/>
        </w:trPr>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区县</w:t>
            </w:r>
          </w:p>
        </w:tc>
        <w:tc>
          <w:tcPr>
            <w:tcW w:w="46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评审指标</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上年完成值</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当年目标值</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得分</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备注</w:t>
            </w:r>
          </w:p>
        </w:tc>
      </w:tr>
      <w:tr>
        <w:tblPrEx>
          <w:tblCellMar>
            <w:top w:w="0" w:type="dxa"/>
            <w:left w:w="108" w:type="dxa"/>
            <w:bottom w:w="0" w:type="dxa"/>
            <w:right w:w="108" w:type="dxa"/>
          </w:tblCellMar>
        </w:tblPrEx>
        <w:trPr>
          <w:trHeight w:val="795" w:hRule="atLeast"/>
        </w:trPr>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黑体_GBK" w:hAnsi="方正黑体_GBK" w:eastAsia="方正黑体_GBK" w:cs="方正黑体_GBK"/>
                <w:color w:val="000000"/>
                <w:sz w:val="24"/>
              </w:rPr>
            </w:pPr>
          </w:p>
        </w:tc>
        <w:tc>
          <w:tcPr>
            <w:tcW w:w="46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黑体_GBK" w:hAnsi="方正黑体_GBK" w:eastAsia="方正黑体_GBK" w:cs="方正黑体_GBK"/>
                <w:color w:val="000000"/>
                <w:sz w:val="24"/>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完成值</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同比增速/降幅（±%）</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目标值</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同比增速/降幅（±%）</w:t>
            </w: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黑体_GBK" w:hAnsi="方正黑体_GBK" w:eastAsia="方正黑体_GBK" w:cs="方正黑体_GBK"/>
                <w:color w:val="000000"/>
                <w:sz w:val="24"/>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黑体_GBK" w:hAnsi="方正黑体_GBK" w:eastAsia="方正黑体_GBK" w:cs="方正黑体_GBK"/>
                <w:color w:val="000000"/>
                <w:sz w:val="24"/>
              </w:rPr>
            </w:pPr>
          </w:p>
        </w:tc>
      </w:tr>
      <w:tr>
        <w:tblPrEx>
          <w:tblCellMar>
            <w:top w:w="0" w:type="dxa"/>
            <w:left w:w="108" w:type="dxa"/>
            <w:bottom w:w="0" w:type="dxa"/>
            <w:right w:w="108" w:type="dxa"/>
          </w:tblCellMar>
        </w:tblPrEx>
        <w:trPr>
          <w:trHeight w:val="450" w:hRule="atLeast"/>
        </w:trPr>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XX区（县、自治县）</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定量指标</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等线" w:cs="Times New Roman"/>
                <w:color w:val="000000"/>
                <w:sz w:val="24"/>
              </w:rPr>
            </w:pPr>
            <w:r>
              <w:rPr>
                <w:rFonts w:hint="eastAsia" w:ascii="方正仿宋_GBK" w:hAnsi="方正仿宋_GBK" w:eastAsia="方正仿宋_GBK" w:cs="方正仿宋_GBK"/>
                <w:color w:val="000000"/>
                <w:kern w:val="0"/>
                <w:sz w:val="24"/>
                <w:lang w:bidi="ar"/>
              </w:rPr>
              <w:t>普惠型小微企业贷款余额</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黑体_GBK" w:hAnsi="方正黑体_GBK" w:eastAsia="方正黑体_GBK" w:cs="方正黑体_GBK"/>
                <w:color w:val="000000"/>
                <w:sz w:val="24"/>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_GBK" w:hAnsi="方正黑体_GBK" w:eastAsia="方正黑体_GBK" w:cs="方正黑体_GBK"/>
                <w:color w:val="000000"/>
                <w:sz w:val="24"/>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黑体_GBK" w:hAnsi="方正黑体_GBK" w:eastAsia="方正黑体_GBK" w:cs="方正黑体_GBK"/>
                <w:color w:val="000000"/>
                <w:sz w:val="24"/>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_GBK" w:hAnsi="方正黑体_GBK" w:eastAsia="方正黑体_GBK" w:cs="方正黑体_GBK"/>
                <w:color w:val="000000"/>
                <w:sz w:val="24"/>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黑体_GBK" w:hAnsi="方正黑体_GBK" w:eastAsia="方正黑体_GBK" w:cs="方正黑体_GBK"/>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黑体_GBK" w:hAnsi="方正黑体_GBK" w:eastAsia="方正黑体_GBK" w:cs="方正黑体_GBK"/>
                <w:color w:val="000000"/>
                <w:sz w:val="24"/>
              </w:rPr>
            </w:pPr>
          </w:p>
        </w:tc>
      </w:tr>
      <w:tr>
        <w:tblPrEx>
          <w:tblCellMar>
            <w:top w:w="0" w:type="dxa"/>
            <w:left w:w="108" w:type="dxa"/>
            <w:bottom w:w="0" w:type="dxa"/>
            <w:right w:w="108" w:type="dxa"/>
          </w:tblCellMar>
        </w:tblPrEx>
        <w:trPr>
          <w:trHeight w:val="465" w:hRule="atLeast"/>
        </w:trPr>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黑体_GBK" w:hAnsi="方正黑体_GBK" w:eastAsia="方正黑体_GBK" w:cs="方正黑体_GBK"/>
                <w:color w:val="000000"/>
                <w:sz w:val="24"/>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黑体_GBK" w:hAnsi="方正黑体_GBK" w:eastAsia="方正黑体_GBK" w:cs="方正黑体_GBK"/>
                <w:color w:val="000000"/>
                <w:sz w:val="24"/>
              </w:rPr>
            </w:pP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等线" w:cs="Times New Roman"/>
                <w:color w:val="000000"/>
                <w:sz w:val="24"/>
              </w:rPr>
            </w:pPr>
            <w:r>
              <w:rPr>
                <w:rFonts w:hint="eastAsia" w:ascii="方正仿宋_GBK" w:hAnsi="方正仿宋_GBK" w:eastAsia="方正仿宋_GBK" w:cs="方正仿宋_GBK"/>
                <w:color w:val="000000"/>
                <w:kern w:val="0"/>
                <w:sz w:val="24"/>
                <w:lang w:bidi="ar"/>
              </w:rPr>
              <w:t>普惠型农户生产经营性贷款余额</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4"/>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4"/>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4"/>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4"/>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4"/>
              </w:rPr>
            </w:pPr>
          </w:p>
        </w:tc>
      </w:tr>
      <w:tr>
        <w:tblPrEx>
          <w:tblCellMar>
            <w:top w:w="0" w:type="dxa"/>
            <w:left w:w="108" w:type="dxa"/>
            <w:bottom w:w="0" w:type="dxa"/>
            <w:right w:w="108" w:type="dxa"/>
          </w:tblCellMar>
        </w:tblPrEx>
        <w:trPr>
          <w:trHeight w:val="315" w:hRule="atLeast"/>
        </w:trPr>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黑体_GBK" w:hAnsi="方正黑体_GBK" w:eastAsia="方正黑体_GBK" w:cs="方正黑体_GBK"/>
                <w:color w:val="000000"/>
                <w:sz w:val="24"/>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黑体_GBK" w:hAnsi="方正黑体_GBK" w:eastAsia="方正黑体_GBK" w:cs="方正黑体_GBK"/>
                <w:color w:val="000000"/>
                <w:sz w:val="24"/>
              </w:rPr>
            </w:pP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等线" w:cs="Times New Roman"/>
                <w:color w:val="000000"/>
                <w:sz w:val="24"/>
              </w:rPr>
            </w:pPr>
            <w:r>
              <w:rPr>
                <w:rFonts w:hint="eastAsia" w:ascii="方正仿宋_GBK" w:hAnsi="方正仿宋_GBK" w:eastAsia="方正仿宋_GBK" w:cs="方正仿宋_GBK"/>
                <w:color w:val="000000"/>
                <w:kern w:val="0"/>
                <w:sz w:val="24"/>
                <w:lang w:bidi="ar"/>
              </w:rPr>
              <w:t>当年新发放普惠型小微企业贷款平均利率</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4"/>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4"/>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4"/>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4"/>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4"/>
              </w:rPr>
            </w:pPr>
          </w:p>
        </w:tc>
      </w:tr>
      <w:tr>
        <w:tblPrEx>
          <w:tblCellMar>
            <w:top w:w="0" w:type="dxa"/>
            <w:left w:w="108" w:type="dxa"/>
            <w:bottom w:w="0" w:type="dxa"/>
            <w:right w:w="108" w:type="dxa"/>
          </w:tblCellMar>
        </w:tblPrEx>
        <w:trPr>
          <w:trHeight w:val="390" w:hRule="atLeast"/>
        </w:trPr>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黑体_GBK" w:hAnsi="方正黑体_GBK" w:eastAsia="方正黑体_GBK" w:cs="方正黑体_GBK"/>
                <w:color w:val="000000"/>
                <w:sz w:val="24"/>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黑体_GBK" w:hAnsi="方正黑体_GBK" w:eastAsia="方正黑体_GBK" w:cs="方正黑体_GBK"/>
                <w:color w:val="000000"/>
                <w:sz w:val="24"/>
              </w:rPr>
            </w:pP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等线" w:cs="Times New Roman"/>
                <w:color w:val="000000"/>
                <w:sz w:val="24"/>
              </w:rPr>
            </w:pPr>
            <w:r>
              <w:rPr>
                <w:rFonts w:hint="eastAsia" w:ascii="方正仿宋_GBK" w:hAnsi="方正仿宋_GBK" w:eastAsia="方正仿宋_GBK" w:cs="方正仿宋_GBK"/>
                <w:color w:val="000000"/>
                <w:kern w:val="0"/>
                <w:sz w:val="24"/>
                <w:lang w:bidi="ar"/>
              </w:rPr>
              <w:t>政府性融资担保业务余额</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4"/>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4"/>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4"/>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4"/>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4"/>
              </w:rPr>
            </w:pPr>
          </w:p>
        </w:tc>
      </w:tr>
      <w:tr>
        <w:tblPrEx>
          <w:tblCellMar>
            <w:top w:w="0" w:type="dxa"/>
            <w:left w:w="108" w:type="dxa"/>
            <w:bottom w:w="0" w:type="dxa"/>
            <w:right w:w="108" w:type="dxa"/>
          </w:tblCellMar>
        </w:tblPrEx>
        <w:trPr>
          <w:trHeight w:val="405" w:hRule="atLeast"/>
        </w:trPr>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黑体_GBK" w:hAnsi="方正黑体_GBK" w:eastAsia="方正黑体_GBK" w:cs="方正黑体_GBK"/>
                <w:color w:val="000000"/>
                <w:sz w:val="24"/>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黑体_GBK" w:hAnsi="方正黑体_GBK" w:eastAsia="方正黑体_GBK" w:cs="方正黑体_GBK"/>
                <w:color w:val="000000"/>
                <w:sz w:val="24"/>
              </w:rPr>
            </w:pP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等线" w:cs="Times New Roman"/>
                <w:color w:val="000000"/>
                <w:sz w:val="24"/>
              </w:rPr>
            </w:pPr>
            <w:r>
              <w:rPr>
                <w:rFonts w:hint="eastAsia" w:ascii="方正仿宋_GBK" w:hAnsi="方正仿宋_GBK" w:eastAsia="方正仿宋_GBK" w:cs="方正仿宋_GBK"/>
                <w:color w:val="000000"/>
                <w:kern w:val="0"/>
                <w:sz w:val="24"/>
                <w:lang w:bidi="ar"/>
              </w:rPr>
              <w:t>小微企业信用贷款余额</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4"/>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4"/>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4"/>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4"/>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4"/>
              </w:rPr>
            </w:pPr>
          </w:p>
        </w:tc>
      </w:tr>
      <w:tr>
        <w:tblPrEx>
          <w:tblCellMar>
            <w:top w:w="0" w:type="dxa"/>
            <w:left w:w="108" w:type="dxa"/>
            <w:bottom w:w="0" w:type="dxa"/>
            <w:right w:w="108" w:type="dxa"/>
          </w:tblCellMar>
        </w:tblPrEx>
        <w:trPr>
          <w:trHeight w:val="690" w:hRule="atLeast"/>
        </w:trPr>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黑体_GBK" w:hAnsi="方正黑体_GBK" w:eastAsia="方正黑体_GBK" w:cs="方正黑体_GBK"/>
                <w:color w:val="000000"/>
                <w:sz w:val="24"/>
              </w:rPr>
            </w:pPr>
          </w:p>
        </w:tc>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定性指标（40分)</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等线" w:cs="Times New Roman"/>
                <w:color w:val="000000"/>
                <w:sz w:val="24"/>
              </w:rPr>
            </w:pPr>
            <w:r>
              <w:rPr>
                <w:rFonts w:hint="eastAsia" w:ascii="方正仿宋_GBK" w:hAnsi="方正仿宋_GBK" w:eastAsia="方正仿宋_GBK" w:cs="方正仿宋_GBK"/>
                <w:color w:val="000000"/>
                <w:kern w:val="0"/>
                <w:sz w:val="24"/>
                <w:lang w:bidi="ar"/>
              </w:rPr>
              <w:t>本区县经济发展、产业发展、金融发展情况</w:t>
            </w:r>
          </w:p>
        </w:tc>
        <w:tc>
          <w:tcPr>
            <w:tcW w:w="41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4"/>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等线" w:cs="Times New Roman"/>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等线" w:cs="Times New Roman"/>
                <w:color w:val="000000"/>
                <w:sz w:val="24"/>
              </w:rPr>
            </w:pPr>
          </w:p>
        </w:tc>
      </w:tr>
      <w:tr>
        <w:tblPrEx>
          <w:tblCellMar>
            <w:top w:w="0" w:type="dxa"/>
            <w:left w:w="108" w:type="dxa"/>
            <w:bottom w:w="0" w:type="dxa"/>
            <w:right w:w="108" w:type="dxa"/>
          </w:tblCellMar>
        </w:tblPrEx>
        <w:trPr>
          <w:trHeight w:val="720" w:hRule="atLeast"/>
        </w:trPr>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黑体_GBK" w:hAnsi="方正黑体_GBK" w:eastAsia="方正黑体_GBK" w:cs="方正黑体_GBK"/>
                <w:color w:val="000000"/>
                <w:sz w:val="24"/>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黑体_GBK" w:hAnsi="方正黑体_GBK" w:eastAsia="方正黑体_GBK" w:cs="方正黑体_GBK"/>
                <w:color w:val="000000"/>
                <w:sz w:val="24"/>
              </w:rPr>
            </w:pP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等线" w:cs="Times New Roman"/>
                <w:color w:val="000000"/>
                <w:sz w:val="24"/>
              </w:rPr>
            </w:pPr>
            <w:r>
              <w:rPr>
                <w:rFonts w:hint="eastAsia" w:ascii="方正仿宋_GBK" w:hAnsi="方正仿宋_GBK" w:eastAsia="方正仿宋_GBK" w:cs="方正仿宋_GBK"/>
                <w:color w:val="000000"/>
                <w:kern w:val="0"/>
                <w:sz w:val="24"/>
                <w:lang w:bidi="ar"/>
              </w:rPr>
              <w:t>本区县近年来支持普惠小微、</w:t>
            </w:r>
            <w:r>
              <w:rPr>
                <w:rFonts w:ascii="Times New Roman" w:hAnsi="Times New Roman" w:eastAsia="等线" w:cs="Times New Roman"/>
                <w:color w:val="000000"/>
                <w:kern w:val="0"/>
                <w:sz w:val="24"/>
                <w:lang w:bidi="ar"/>
              </w:rPr>
              <w:t>“</w:t>
            </w:r>
            <w:r>
              <w:rPr>
                <w:rFonts w:hint="eastAsia" w:ascii="方正仿宋_GBK" w:hAnsi="方正仿宋_GBK" w:eastAsia="方正仿宋_GBK" w:cs="方正仿宋_GBK"/>
                <w:color w:val="000000"/>
                <w:kern w:val="0"/>
                <w:sz w:val="24"/>
                <w:lang w:bidi="ar"/>
              </w:rPr>
              <w:t>三农</w:t>
            </w:r>
            <w:r>
              <w:rPr>
                <w:rFonts w:ascii="Times New Roman" w:hAnsi="Times New Roman" w:eastAsia="等线" w:cs="Times New Roman"/>
                <w:color w:val="000000"/>
                <w:kern w:val="0"/>
                <w:sz w:val="24"/>
                <w:lang w:bidi="ar"/>
              </w:rPr>
              <w:t>”</w:t>
            </w:r>
            <w:r>
              <w:rPr>
                <w:rFonts w:hint="eastAsia" w:ascii="方正仿宋_GBK" w:hAnsi="方正仿宋_GBK" w:eastAsia="方正仿宋_GBK" w:cs="方正仿宋_GBK"/>
                <w:color w:val="000000"/>
                <w:kern w:val="0"/>
                <w:sz w:val="24"/>
                <w:lang w:bidi="ar"/>
              </w:rPr>
              <w:t>发展的做法、主要成效、特色亮点</w:t>
            </w:r>
          </w:p>
        </w:tc>
        <w:tc>
          <w:tcPr>
            <w:tcW w:w="41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4"/>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等线" w:cs="Times New Roman"/>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等线" w:cs="Times New Roman"/>
                <w:color w:val="000000"/>
                <w:sz w:val="24"/>
              </w:rPr>
            </w:pPr>
          </w:p>
        </w:tc>
      </w:tr>
      <w:tr>
        <w:tblPrEx>
          <w:tblCellMar>
            <w:top w:w="0" w:type="dxa"/>
            <w:left w:w="108" w:type="dxa"/>
            <w:bottom w:w="0" w:type="dxa"/>
            <w:right w:w="108" w:type="dxa"/>
          </w:tblCellMar>
        </w:tblPrEx>
        <w:trPr>
          <w:trHeight w:val="1110" w:hRule="atLeast"/>
        </w:trPr>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黑体_GBK" w:hAnsi="方正黑体_GBK" w:eastAsia="方正黑体_GBK" w:cs="方正黑体_GBK"/>
                <w:color w:val="000000"/>
                <w:sz w:val="24"/>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黑体_GBK" w:hAnsi="方正黑体_GBK" w:eastAsia="方正黑体_GBK" w:cs="方正黑体_GBK"/>
                <w:color w:val="000000"/>
                <w:sz w:val="24"/>
              </w:rPr>
            </w:pP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等线" w:cs="Times New Roman"/>
                <w:color w:val="000000"/>
                <w:sz w:val="24"/>
              </w:rPr>
            </w:pPr>
            <w:r>
              <w:rPr>
                <w:rFonts w:hint="eastAsia" w:ascii="方正仿宋_GBK" w:hAnsi="方正仿宋_GBK" w:eastAsia="方正仿宋_GBK" w:cs="方正仿宋_GBK"/>
                <w:color w:val="000000"/>
                <w:kern w:val="0"/>
                <w:sz w:val="24"/>
                <w:lang w:bidi="ar"/>
              </w:rPr>
              <w:t>本区县财金联动情况、金融机构体系建设情况（银行业金融机构组织体系、政府性融资担保体系建设情况、财金支持政策等）</w:t>
            </w:r>
          </w:p>
        </w:tc>
        <w:tc>
          <w:tcPr>
            <w:tcW w:w="41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4"/>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等线" w:cs="Times New Roman"/>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等线" w:cs="Times New Roman"/>
                <w:color w:val="000000"/>
                <w:sz w:val="24"/>
              </w:rPr>
            </w:pPr>
          </w:p>
        </w:tc>
      </w:tr>
      <w:tr>
        <w:tblPrEx>
          <w:tblCellMar>
            <w:top w:w="0" w:type="dxa"/>
            <w:left w:w="108" w:type="dxa"/>
            <w:bottom w:w="0" w:type="dxa"/>
            <w:right w:w="108" w:type="dxa"/>
          </w:tblCellMar>
        </w:tblPrEx>
        <w:trPr>
          <w:trHeight w:val="705" w:hRule="atLeast"/>
        </w:trPr>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黑体_GBK" w:hAnsi="方正黑体_GBK" w:eastAsia="方正黑体_GBK" w:cs="方正黑体_GBK"/>
                <w:color w:val="000000"/>
                <w:sz w:val="24"/>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黑体_GBK" w:hAnsi="方正黑体_GBK" w:eastAsia="方正黑体_GBK" w:cs="方正黑体_GBK"/>
                <w:color w:val="000000"/>
                <w:sz w:val="24"/>
              </w:rPr>
            </w:pP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等线" w:cs="Times New Roman"/>
                <w:color w:val="000000"/>
                <w:sz w:val="24"/>
              </w:rPr>
            </w:pPr>
            <w:r>
              <w:rPr>
                <w:rFonts w:hint="eastAsia" w:ascii="方正仿宋_GBK" w:hAnsi="方正仿宋_GBK" w:eastAsia="方正仿宋_GBK" w:cs="方正仿宋_GBK"/>
                <w:color w:val="000000"/>
                <w:kern w:val="0"/>
                <w:sz w:val="24"/>
                <w:lang w:bidi="ar"/>
              </w:rPr>
              <w:t>实施方案可行性（工作举措、支持方向、预期效果等）、目标设置科学性</w:t>
            </w:r>
          </w:p>
        </w:tc>
        <w:tc>
          <w:tcPr>
            <w:tcW w:w="41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4"/>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等线" w:cs="Times New Roman"/>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等线" w:cs="Times New Roman"/>
                <w:color w:val="000000"/>
                <w:sz w:val="24"/>
              </w:rPr>
            </w:pPr>
          </w:p>
        </w:tc>
      </w:tr>
      <w:tr>
        <w:tblPrEx>
          <w:tblCellMar>
            <w:top w:w="0" w:type="dxa"/>
            <w:left w:w="108" w:type="dxa"/>
            <w:bottom w:w="0" w:type="dxa"/>
            <w:right w:w="108" w:type="dxa"/>
          </w:tblCellMar>
        </w:tblPrEx>
        <w:trPr>
          <w:trHeight w:val="1575" w:hRule="atLeast"/>
        </w:trPr>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黑体_GBK" w:hAnsi="方正黑体_GBK" w:eastAsia="方正黑体_GBK" w:cs="方正黑体_GBK"/>
                <w:color w:val="000000"/>
                <w:sz w:val="24"/>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加分项</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等线" w:cs="Times New Roman"/>
                <w:color w:val="000000"/>
                <w:sz w:val="24"/>
              </w:rPr>
            </w:pPr>
            <w:r>
              <w:rPr>
                <w:rFonts w:hint="eastAsia" w:ascii="方正仿宋_GBK" w:hAnsi="方正仿宋_GBK" w:eastAsia="方正仿宋_GBK" w:cs="方正仿宋_GBK"/>
                <w:color w:val="000000"/>
                <w:kern w:val="0"/>
                <w:sz w:val="24"/>
                <w:lang w:bidi="ar"/>
              </w:rPr>
              <w:t>若申报区县为国家乡村振兴重点帮扶县、中国人民银行牵头确定的普惠金融改革试验区、金融监管总局确定的金融服务乡村振兴或中小微企业典型地区及试验区，加</w:t>
            </w:r>
            <w:r>
              <w:rPr>
                <w:rFonts w:ascii="Times New Roman" w:hAnsi="Times New Roman" w:eastAsia="等线" w:cs="Times New Roman"/>
                <w:color w:val="000000"/>
                <w:kern w:val="0"/>
                <w:sz w:val="24"/>
                <w:lang w:bidi="ar"/>
              </w:rPr>
              <w:t>1</w:t>
            </w:r>
            <w:r>
              <w:rPr>
                <w:rFonts w:hint="eastAsia" w:ascii="方正仿宋_GBK" w:hAnsi="方正仿宋_GBK" w:eastAsia="方正仿宋_GBK" w:cs="方正仿宋_GBK"/>
                <w:color w:val="000000"/>
                <w:kern w:val="0"/>
                <w:sz w:val="24"/>
                <w:lang w:bidi="ar"/>
              </w:rPr>
              <w:t>分</w:t>
            </w:r>
            <w:r>
              <w:rPr>
                <w:rFonts w:ascii="Times New Roman" w:hAnsi="Times New Roman" w:eastAsia="等线" w:cs="Times New Roman"/>
                <w:color w:val="000000"/>
                <w:kern w:val="0"/>
                <w:sz w:val="24"/>
                <w:lang w:bidi="ar"/>
              </w:rPr>
              <w:t>/</w:t>
            </w:r>
            <w:r>
              <w:rPr>
                <w:rFonts w:hint="eastAsia" w:ascii="方正仿宋_GBK" w:hAnsi="方正仿宋_GBK" w:eastAsia="方正仿宋_GBK" w:cs="方正仿宋_GBK"/>
                <w:color w:val="000000"/>
                <w:kern w:val="0"/>
                <w:sz w:val="24"/>
                <w:lang w:bidi="ar"/>
              </w:rPr>
              <w:t>个，累计加分不超过</w:t>
            </w:r>
            <w:r>
              <w:rPr>
                <w:rFonts w:ascii="Times New Roman" w:hAnsi="Times New Roman" w:eastAsia="等线" w:cs="Times New Roman"/>
                <w:color w:val="000000"/>
                <w:kern w:val="0"/>
                <w:sz w:val="24"/>
                <w:lang w:bidi="ar"/>
              </w:rPr>
              <w:t>2</w:t>
            </w:r>
            <w:r>
              <w:rPr>
                <w:rFonts w:hint="eastAsia" w:ascii="方正仿宋_GBK" w:hAnsi="方正仿宋_GBK" w:eastAsia="方正仿宋_GBK" w:cs="方正仿宋_GBK"/>
                <w:color w:val="000000"/>
                <w:kern w:val="0"/>
                <w:sz w:val="24"/>
                <w:lang w:bidi="ar"/>
              </w:rPr>
              <w:t>分。</w:t>
            </w:r>
          </w:p>
        </w:tc>
        <w:tc>
          <w:tcPr>
            <w:tcW w:w="41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4"/>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等线" w:cs="Times New Roman"/>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等线" w:cs="Times New Roman"/>
                <w:color w:val="000000"/>
                <w:sz w:val="24"/>
              </w:rPr>
            </w:pPr>
          </w:p>
        </w:tc>
      </w:tr>
      <w:tr>
        <w:tblPrEx>
          <w:tblCellMar>
            <w:top w:w="0" w:type="dxa"/>
            <w:left w:w="108" w:type="dxa"/>
            <w:bottom w:w="0" w:type="dxa"/>
            <w:right w:w="108" w:type="dxa"/>
          </w:tblCellMar>
        </w:tblPrEx>
        <w:trPr>
          <w:trHeight w:val="630" w:hRule="atLeast"/>
        </w:trPr>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黑体_GBK" w:hAnsi="方正黑体_GBK" w:eastAsia="方正黑体_GBK" w:cs="方正黑体_GBK"/>
                <w:color w:val="000000"/>
                <w:sz w:val="24"/>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扣分项</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等线" w:cs="Times New Roman"/>
                <w:color w:val="000000"/>
                <w:sz w:val="24"/>
              </w:rPr>
            </w:pPr>
            <w:r>
              <w:rPr>
                <w:rFonts w:hint="eastAsia" w:ascii="方正仿宋_GBK" w:hAnsi="方正仿宋_GBK" w:eastAsia="方正仿宋_GBK" w:cs="方正仿宋_GBK"/>
                <w:color w:val="000000"/>
                <w:kern w:val="0"/>
                <w:sz w:val="24"/>
                <w:lang w:bidi="ar"/>
              </w:rPr>
              <w:t>申报示范区上一年度发生重大金融案件，发生一件扣</w:t>
            </w:r>
            <w:r>
              <w:rPr>
                <w:rFonts w:ascii="Times New Roman" w:hAnsi="Times New Roman" w:eastAsia="等线" w:cs="Times New Roman"/>
                <w:color w:val="000000"/>
                <w:kern w:val="0"/>
                <w:sz w:val="24"/>
                <w:lang w:bidi="ar"/>
              </w:rPr>
              <w:t>2</w:t>
            </w:r>
            <w:r>
              <w:rPr>
                <w:rFonts w:hint="eastAsia" w:ascii="方正仿宋_GBK" w:hAnsi="方正仿宋_GBK" w:eastAsia="方正仿宋_GBK" w:cs="方正仿宋_GBK"/>
                <w:color w:val="000000"/>
                <w:kern w:val="0"/>
                <w:sz w:val="24"/>
                <w:lang w:bidi="ar"/>
              </w:rPr>
              <w:t>分。</w:t>
            </w:r>
          </w:p>
        </w:tc>
        <w:tc>
          <w:tcPr>
            <w:tcW w:w="41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4"/>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等线" w:cs="Times New Roman"/>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等线" w:cs="Times New Roman"/>
                <w:color w:val="000000"/>
                <w:sz w:val="24"/>
              </w:rPr>
            </w:pPr>
          </w:p>
        </w:tc>
      </w:tr>
      <w:tr>
        <w:tblPrEx>
          <w:tblCellMar>
            <w:top w:w="0" w:type="dxa"/>
            <w:left w:w="108" w:type="dxa"/>
            <w:bottom w:w="0" w:type="dxa"/>
            <w:right w:w="108" w:type="dxa"/>
          </w:tblCellMar>
        </w:tblPrEx>
        <w:trPr>
          <w:trHeight w:val="435" w:hRule="atLeast"/>
        </w:trPr>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黑体_GBK" w:hAnsi="方正黑体_GBK" w:eastAsia="方正黑体_GBK" w:cs="方正黑体_GBK"/>
                <w:color w:val="000000"/>
                <w:sz w:val="24"/>
              </w:rPr>
            </w:pPr>
          </w:p>
        </w:tc>
        <w:tc>
          <w:tcPr>
            <w:tcW w:w="4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合计得分</w:t>
            </w:r>
          </w:p>
        </w:tc>
        <w:tc>
          <w:tcPr>
            <w:tcW w:w="41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4"/>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等线" w:cs="Times New Roman"/>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等线" w:cs="Times New Roman"/>
                <w:color w:val="000000"/>
                <w:sz w:val="24"/>
              </w:rPr>
            </w:pPr>
          </w:p>
        </w:tc>
      </w:tr>
      <w:tr>
        <w:tblPrEx>
          <w:tblCellMar>
            <w:top w:w="0" w:type="dxa"/>
            <w:left w:w="108" w:type="dxa"/>
            <w:bottom w:w="0" w:type="dxa"/>
            <w:right w:w="108" w:type="dxa"/>
          </w:tblCellMar>
        </w:tblPrEx>
        <w:trPr>
          <w:trHeight w:val="2100" w:hRule="atLeast"/>
        </w:trPr>
        <w:tc>
          <w:tcPr>
            <w:tcW w:w="13065" w:type="dxa"/>
            <w:gridSpan w:val="9"/>
            <w:tcBorders>
              <w:top w:val="single" w:color="000000" w:sz="4" w:space="0"/>
              <w:left w:val="nil"/>
              <w:bottom w:val="nil"/>
              <w:right w:val="nil"/>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注：1.上年完成值中“同比增速”=（上年度指标值-上上年度指标值）÷上上年度指标值×100%，“同比降幅”=（上上年度指标值-上年度指标值）÷上上年度指标值×上上年度指标值×100%。当年指标目标以此类推。</w:t>
            </w:r>
            <w:r>
              <w:rPr>
                <w:rFonts w:hint="eastAsia" w:ascii="方正仿宋_GBK" w:hAnsi="方正仿宋_GBK" w:eastAsia="方正仿宋_GBK" w:cs="方正仿宋_GBK"/>
                <w:color w:val="000000"/>
                <w:kern w:val="0"/>
                <w:sz w:val="24"/>
                <w:lang w:bidi="ar"/>
              </w:rPr>
              <w:br w:type="textWrapping"/>
            </w:r>
            <w:r>
              <w:rPr>
                <w:rFonts w:hint="eastAsia" w:ascii="方正仿宋_GBK" w:hAnsi="方正仿宋_GBK" w:eastAsia="方正仿宋_GBK" w:cs="方正仿宋_GBK"/>
                <w:color w:val="000000"/>
                <w:kern w:val="0"/>
                <w:sz w:val="24"/>
                <w:lang w:bidi="ar"/>
              </w:rPr>
              <w:t xml:space="preserve">     2.数值保留小数点后两位。</w:t>
            </w:r>
          </w:p>
        </w:tc>
      </w:tr>
    </w:tbl>
    <w:p>
      <w:pPr>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tbl>
      <w:tblPr>
        <w:tblStyle w:val="8"/>
        <w:tblW w:w="13028" w:type="dxa"/>
        <w:tblInd w:w="93" w:type="dxa"/>
        <w:tblLayout w:type="fixed"/>
        <w:tblCellMar>
          <w:top w:w="0" w:type="dxa"/>
          <w:left w:w="108" w:type="dxa"/>
          <w:bottom w:w="0" w:type="dxa"/>
          <w:right w:w="108" w:type="dxa"/>
        </w:tblCellMar>
      </w:tblPr>
      <w:tblGrid>
        <w:gridCol w:w="1346"/>
        <w:gridCol w:w="918"/>
        <w:gridCol w:w="2606"/>
        <w:gridCol w:w="975"/>
        <w:gridCol w:w="1574"/>
        <w:gridCol w:w="1704"/>
        <w:gridCol w:w="2082"/>
        <w:gridCol w:w="1147"/>
        <w:gridCol w:w="676"/>
      </w:tblGrid>
      <w:tr>
        <w:tblPrEx>
          <w:tblCellMar>
            <w:top w:w="0" w:type="dxa"/>
            <w:left w:w="108" w:type="dxa"/>
            <w:bottom w:w="0" w:type="dxa"/>
            <w:right w:w="108" w:type="dxa"/>
          </w:tblCellMar>
        </w:tblPrEx>
        <w:trPr>
          <w:trHeight w:val="315" w:hRule="atLeast"/>
        </w:trPr>
        <w:tc>
          <w:tcPr>
            <w:tcW w:w="1346" w:type="dxa"/>
            <w:tcBorders>
              <w:top w:val="nil"/>
              <w:left w:val="nil"/>
              <w:bottom w:val="nil"/>
              <w:right w:val="nil"/>
            </w:tcBorders>
            <w:shd w:val="clear" w:color="auto" w:fill="auto"/>
            <w:noWrap/>
            <w:vAlign w:val="center"/>
          </w:tcPr>
          <w:p>
            <w:pPr>
              <w:widowControl/>
              <w:jc w:val="left"/>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附件5</w:t>
            </w:r>
          </w:p>
        </w:tc>
        <w:tc>
          <w:tcPr>
            <w:tcW w:w="918"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2606" w:type="dxa"/>
            <w:tcBorders>
              <w:top w:val="nil"/>
              <w:left w:val="nil"/>
              <w:bottom w:val="nil"/>
              <w:right w:val="nil"/>
            </w:tcBorders>
            <w:shd w:val="clear" w:color="auto" w:fill="auto"/>
            <w:vAlign w:val="center"/>
          </w:tcPr>
          <w:p>
            <w:pPr>
              <w:jc w:val="left"/>
              <w:rPr>
                <w:rFonts w:ascii="宋体" w:hAnsi="宋体" w:eastAsia="宋体" w:cs="宋体"/>
                <w:color w:val="000000"/>
                <w:sz w:val="22"/>
                <w:szCs w:val="22"/>
              </w:rPr>
            </w:pPr>
          </w:p>
        </w:tc>
        <w:tc>
          <w:tcPr>
            <w:tcW w:w="975"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1574"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1704"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2082"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1147"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676"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480" w:hRule="atLeast"/>
        </w:trPr>
        <w:tc>
          <w:tcPr>
            <w:tcW w:w="13028" w:type="dxa"/>
            <w:gridSpan w:val="9"/>
            <w:tcBorders>
              <w:top w:val="nil"/>
              <w:left w:val="nil"/>
              <w:bottom w:val="nil"/>
              <w:right w:val="nil"/>
            </w:tcBorders>
            <w:shd w:val="clear" w:color="auto" w:fill="auto"/>
            <w:noWrap/>
            <w:vAlign w:val="center"/>
          </w:tcPr>
          <w:p>
            <w:pPr>
              <w:widowControl/>
              <w:jc w:val="center"/>
              <w:textAlignment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kern w:val="0"/>
                <w:sz w:val="36"/>
                <w:szCs w:val="36"/>
                <w:lang w:bidi="ar"/>
              </w:rPr>
              <w:t>财政支持普惠金融发展示范区绩效考核表</w:t>
            </w:r>
          </w:p>
        </w:tc>
      </w:tr>
      <w:tr>
        <w:tblPrEx>
          <w:tblCellMar>
            <w:top w:w="0" w:type="dxa"/>
            <w:left w:w="108" w:type="dxa"/>
            <w:bottom w:w="0" w:type="dxa"/>
            <w:right w:w="108" w:type="dxa"/>
          </w:tblCellMar>
        </w:tblPrEx>
        <w:trPr>
          <w:trHeight w:val="315" w:hRule="atLeast"/>
        </w:trPr>
        <w:tc>
          <w:tcPr>
            <w:tcW w:w="13028" w:type="dxa"/>
            <w:gridSpan w:val="9"/>
            <w:tcBorders>
              <w:top w:val="nil"/>
              <w:left w:val="nil"/>
              <w:bottom w:val="nil"/>
              <w:right w:val="nil"/>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20XX年XX区（县、自治县）</w:t>
            </w:r>
          </w:p>
        </w:tc>
      </w:tr>
      <w:tr>
        <w:tblPrEx>
          <w:tblCellMar>
            <w:top w:w="0" w:type="dxa"/>
            <w:left w:w="108" w:type="dxa"/>
            <w:bottom w:w="0" w:type="dxa"/>
            <w:right w:w="108" w:type="dxa"/>
          </w:tblCellMar>
        </w:tblPrEx>
        <w:trPr>
          <w:trHeight w:val="315" w:hRule="atLeast"/>
        </w:trPr>
        <w:tc>
          <w:tcPr>
            <w:tcW w:w="1346" w:type="dxa"/>
            <w:tcBorders>
              <w:top w:val="nil"/>
              <w:left w:val="nil"/>
              <w:bottom w:val="nil"/>
              <w:right w:val="nil"/>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填报单位（盖章）：</w:t>
            </w:r>
          </w:p>
        </w:tc>
        <w:tc>
          <w:tcPr>
            <w:tcW w:w="918" w:type="dxa"/>
            <w:tcBorders>
              <w:top w:val="nil"/>
              <w:left w:val="nil"/>
              <w:bottom w:val="nil"/>
              <w:right w:val="nil"/>
            </w:tcBorders>
            <w:shd w:val="clear" w:color="auto" w:fill="auto"/>
            <w:noWrap/>
            <w:vAlign w:val="center"/>
          </w:tcPr>
          <w:p>
            <w:pPr>
              <w:rPr>
                <w:rFonts w:ascii="Times New Roman" w:hAnsi="Times New Roman" w:eastAsia="宋体" w:cs="Times New Roman"/>
                <w:color w:val="000000"/>
                <w:sz w:val="24"/>
              </w:rPr>
            </w:pPr>
          </w:p>
        </w:tc>
        <w:tc>
          <w:tcPr>
            <w:tcW w:w="2606" w:type="dxa"/>
            <w:tcBorders>
              <w:top w:val="nil"/>
              <w:left w:val="nil"/>
              <w:bottom w:val="nil"/>
              <w:right w:val="nil"/>
            </w:tcBorders>
            <w:shd w:val="clear" w:color="auto" w:fill="auto"/>
            <w:vAlign w:val="center"/>
          </w:tcPr>
          <w:p>
            <w:pPr>
              <w:jc w:val="left"/>
              <w:rPr>
                <w:rFonts w:ascii="Times New Roman" w:hAnsi="Times New Roman" w:eastAsia="宋体" w:cs="Times New Roman"/>
                <w:color w:val="000000"/>
                <w:sz w:val="24"/>
              </w:rPr>
            </w:pPr>
          </w:p>
        </w:tc>
        <w:tc>
          <w:tcPr>
            <w:tcW w:w="975" w:type="dxa"/>
            <w:tcBorders>
              <w:top w:val="nil"/>
              <w:left w:val="nil"/>
              <w:bottom w:val="nil"/>
              <w:right w:val="nil"/>
            </w:tcBorders>
            <w:shd w:val="clear" w:color="auto" w:fill="auto"/>
            <w:noWrap/>
            <w:vAlign w:val="center"/>
          </w:tcPr>
          <w:p>
            <w:pPr>
              <w:rPr>
                <w:rFonts w:ascii="Times New Roman" w:hAnsi="Times New Roman" w:eastAsia="宋体" w:cs="Times New Roman"/>
                <w:color w:val="000000"/>
                <w:sz w:val="24"/>
              </w:rPr>
            </w:pPr>
          </w:p>
        </w:tc>
        <w:tc>
          <w:tcPr>
            <w:tcW w:w="1574" w:type="dxa"/>
            <w:tcBorders>
              <w:top w:val="nil"/>
              <w:left w:val="nil"/>
              <w:bottom w:val="nil"/>
              <w:right w:val="nil"/>
            </w:tcBorders>
            <w:shd w:val="clear" w:color="auto" w:fill="auto"/>
            <w:noWrap/>
            <w:vAlign w:val="center"/>
          </w:tcPr>
          <w:p>
            <w:pPr>
              <w:rPr>
                <w:rFonts w:ascii="Times New Roman" w:hAnsi="Times New Roman" w:eastAsia="宋体" w:cs="Times New Roman"/>
                <w:color w:val="000000"/>
                <w:sz w:val="24"/>
              </w:rPr>
            </w:pPr>
          </w:p>
        </w:tc>
        <w:tc>
          <w:tcPr>
            <w:tcW w:w="1704" w:type="dxa"/>
            <w:tcBorders>
              <w:top w:val="nil"/>
              <w:left w:val="nil"/>
              <w:bottom w:val="nil"/>
              <w:right w:val="nil"/>
            </w:tcBorders>
            <w:shd w:val="clear" w:color="auto" w:fill="auto"/>
            <w:noWrap/>
            <w:vAlign w:val="center"/>
          </w:tcPr>
          <w:p>
            <w:pPr>
              <w:rPr>
                <w:rFonts w:ascii="Times New Roman" w:hAnsi="Times New Roman" w:eastAsia="宋体" w:cs="Times New Roman"/>
                <w:color w:val="000000"/>
                <w:sz w:val="24"/>
              </w:rPr>
            </w:pPr>
          </w:p>
        </w:tc>
        <w:tc>
          <w:tcPr>
            <w:tcW w:w="2082" w:type="dxa"/>
            <w:tcBorders>
              <w:top w:val="nil"/>
              <w:left w:val="nil"/>
              <w:bottom w:val="nil"/>
              <w:right w:val="nil"/>
            </w:tcBorders>
            <w:shd w:val="clear" w:color="auto" w:fill="auto"/>
            <w:noWrap/>
            <w:vAlign w:val="center"/>
          </w:tcPr>
          <w:p>
            <w:pPr>
              <w:rPr>
                <w:rFonts w:ascii="Times New Roman" w:hAnsi="Times New Roman" w:eastAsia="宋体" w:cs="Times New Roman"/>
                <w:color w:val="000000"/>
                <w:sz w:val="24"/>
              </w:rPr>
            </w:pPr>
          </w:p>
        </w:tc>
        <w:tc>
          <w:tcPr>
            <w:tcW w:w="1147" w:type="dxa"/>
            <w:tcBorders>
              <w:top w:val="nil"/>
              <w:left w:val="nil"/>
              <w:bottom w:val="single" w:color="000000" w:sz="4" w:space="0"/>
              <w:right w:val="nil"/>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单位：万元、%</w:t>
            </w:r>
          </w:p>
        </w:tc>
        <w:tc>
          <w:tcPr>
            <w:tcW w:w="676" w:type="dxa"/>
            <w:tcBorders>
              <w:top w:val="nil"/>
              <w:left w:val="nil"/>
              <w:bottom w:val="single" w:color="000000" w:sz="4" w:space="0"/>
              <w:right w:val="nil"/>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945" w:hRule="atLeast"/>
        </w:trPr>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区县</w:t>
            </w:r>
          </w:p>
        </w:tc>
        <w:tc>
          <w:tcPr>
            <w:tcW w:w="35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绩效评价指标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实际完成值</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同比增速/降幅（±%）</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年初目标值</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目标完成率（%）</w:t>
            </w:r>
            <w:r>
              <w:rPr>
                <w:rFonts w:hint="eastAsia" w:ascii="方正黑体_GBK" w:hAnsi="方正黑体_GBK" w:eastAsia="方正黑体_GBK" w:cs="方正黑体_GBK"/>
                <w:color w:val="000000"/>
                <w:kern w:val="0"/>
                <w:sz w:val="24"/>
                <w:lang w:bidi="ar"/>
              </w:rPr>
              <w:br w:type="textWrapping"/>
            </w:r>
            <w:r>
              <w:rPr>
                <w:rFonts w:hint="eastAsia" w:ascii="方正黑体_GBK" w:hAnsi="方正黑体_GBK" w:eastAsia="方正黑体_GBK" w:cs="方正黑体_GBK"/>
                <w:color w:val="000000"/>
                <w:kern w:val="0"/>
                <w:sz w:val="24"/>
                <w:lang w:bidi="ar"/>
              </w:rPr>
              <w:t>=实际完成值÷年初目标值</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得分</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备注</w:t>
            </w:r>
          </w:p>
        </w:tc>
      </w:tr>
      <w:tr>
        <w:tblPrEx>
          <w:tblCellMar>
            <w:top w:w="0" w:type="dxa"/>
            <w:left w:w="108" w:type="dxa"/>
            <w:bottom w:w="0" w:type="dxa"/>
            <w:right w:w="108" w:type="dxa"/>
          </w:tblCellMar>
        </w:tblPrEx>
        <w:trPr>
          <w:trHeight w:val="760" w:hRule="atLeast"/>
        </w:trPr>
        <w:tc>
          <w:tcPr>
            <w:tcW w:w="13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XX区（县、自治县）</w:t>
            </w:r>
          </w:p>
        </w:tc>
        <w:tc>
          <w:tcPr>
            <w:tcW w:w="9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定量指标</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普惠型小微企业贷款余额</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黑体_GBK" w:hAnsi="方正黑体_GBK" w:eastAsia="方正黑体_GBK" w:cs="方正黑体_GBK"/>
                <w:color w:val="000000"/>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_GBK" w:hAnsi="方正黑体_GBK" w:eastAsia="方正黑体_GBK" w:cs="方正黑体_GBK"/>
                <w:color w:val="000000"/>
                <w:sz w:val="24"/>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黑体_GBK" w:hAnsi="方正黑体_GBK" w:eastAsia="方正黑体_GBK" w:cs="方正黑体_GBK"/>
                <w:color w:val="000000"/>
                <w:sz w:val="24"/>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_GBK" w:hAnsi="方正黑体_GBK" w:eastAsia="方正黑体_GBK" w:cs="方正黑体_GBK"/>
                <w:color w:val="000000"/>
                <w:sz w:val="24"/>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黑体_GBK" w:hAnsi="方正黑体_GBK" w:eastAsia="方正黑体_GBK" w:cs="方正黑体_GBK"/>
                <w:color w:val="000000"/>
                <w:sz w:val="24"/>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760" w:hRule="atLeast"/>
        </w:trPr>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_GBK" w:hAnsi="方正黑体_GBK" w:eastAsia="方正黑体_GBK" w:cs="方正黑体_GBK"/>
                <w:color w:val="000000"/>
                <w:sz w:val="24"/>
              </w:rPr>
            </w:pPr>
          </w:p>
        </w:tc>
        <w:tc>
          <w:tcPr>
            <w:tcW w:w="9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黑体_GBK" w:hAnsi="方正黑体_GBK" w:eastAsia="方正黑体_GBK" w:cs="方正黑体_GBK"/>
                <w:color w:val="000000"/>
                <w:sz w:val="24"/>
              </w:rPr>
            </w:pP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普惠型农户生产经营性贷款余额</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760" w:hRule="atLeast"/>
        </w:trPr>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_GBK" w:hAnsi="方正黑体_GBK" w:eastAsia="方正黑体_GBK" w:cs="方正黑体_GBK"/>
                <w:color w:val="000000"/>
                <w:sz w:val="24"/>
              </w:rPr>
            </w:pPr>
          </w:p>
        </w:tc>
        <w:tc>
          <w:tcPr>
            <w:tcW w:w="9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黑体_GBK" w:hAnsi="方正黑体_GBK" w:eastAsia="方正黑体_GBK" w:cs="方正黑体_GBK"/>
                <w:color w:val="000000"/>
                <w:sz w:val="24"/>
              </w:rPr>
            </w:pP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当年新发放普户型小微企业贷款规模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760" w:hRule="atLeast"/>
        </w:trPr>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_GBK" w:hAnsi="方正黑体_GBK" w:eastAsia="方正黑体_GBK" w:cs="方正黑体_GBK"/>
                <w:color w:val="000000"/>
                <w:sz w:val="24"/>
              </w:rPr>
            </w:pPr>
          </w:p>
        </w:tc>
        <w:tc>
          <w:tcPr>
            <w:tcW w:w="9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黑体_GBK" w:hAnsi="方正黑体_GBK" w:eastAsia="方正黑体_GBK" w:cs="方正黑体_GBK"/>
                <w:color w:val="000000"/>
                <w:sz w:val="24"/>
              </w:rPr>
            </w:pP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当年新发放普户型小微企业贷款平均利率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760" w:hRule="atLeast"/>
        </w:trPr>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_GBK" w:hAnsi="方正黑体_GBK" w:eastAsia="方正黑体_GBK" w:cs="方正黑体_GBK"/>
                <w:color w:val="000000"/>
                <w:sz w:val="24"/>
              </w:rPr>
            </w:pPr>
          </w:p>
        </w:tc>
        <w:tc>
          <w:tcPr>
            <w:tcW w:w="9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黑体_GBK" w:hAnsi="方正黑体_GBK" w:eastAsia="方正黑体_GBK" w:cs="方正黑体_GBK"/>
                <w:color w:val="000000"/>
                <w:sz w:val="24"/>
              </w:rPr>
            </w:pP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政府性融资担保业务余额</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760" w:hRule="atLeast"/>
        </w:trPr>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_GBK" w:hAnsi="方正黑体_GBK" w:eastAsia="方正黑体_GBK" w:cs="方正黑体_GBK"/>
                <w:color w:val="000000"/>
                <w:sz w:val="24"/>
              </w:rPr>
            </w:pPr>
          </w:p>
        </w:tc>
        <w:tc>
          <w:tcPr>
            <w:tcW w:w="9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黑体_GBK" w:hAnsi="方正黑体_GBK" w:eastAsia="方正黑体_GBK" w:cs="方正黑体_GBK"/>
                <w:color w:val="000000"/>
                <w:sz w:val="24"/>
              </w:rPr>
            </w:pP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小微企业信用贷款余额</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760" w:hRule="atLeast"/>
        </w:trPr>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_GBK" w:hAnsi="方正黑体_GBK" w:eastAsia="方正黑体_GBK" w:cs="方正黑体_GBK"/>
                <w:color w:val="000000"/>
                <w:sz w:val="24"/>
              </w:rPr>
            </w:pPr>
          </w:p>
        </w:tc>
        <w:tc>
          <w:tcPr>
            <w:tcW w:w="9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定性指标</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示范区工作机制建设、市区纵向联动、部门横向联动、与金融机构协同配合等情况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r>
      <w:tr>
        <w:tblPrEx>
          <w:tblCellMar>
            <w:top w:w="0" w:type="dxa"/>
            <w:left w:w="108" w:type="dxa"/>
            <w:bottom w:w="0" w:type="dxa"/>
            <w:right w:w="108" w:type="dxa"/>
          </w:tblCellMar>
        </w:tblPrEx>
        <w:trPr>
          <w:trHeight w:val="760" w:hRule="atLeast"/>
        </w:trPr>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_GBK" w:hAnsi="方正黑体_GBK" w:eastAsia="方正黑体_GBK" w:cs="方正黑体_GBK"/>
                <w:color w:val="000000"/>
                <w:sz w:val="24"/>
              </w:rPr>
            </w:pPr>
          </w:p>
        </w:tc>
        <w:tc>
          <w:tcPr>
            <w:tcW w:w="9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黑体_GBK" w:hAnsi="方正黑体_GBK" w:eastAsia="方正黑体_GBK" w:cs="方正黑体_GBK"/>
                <w:color w:val="000000"/>
                <w:sz w:val="24"/>
              </w:rPr>
            </w:pP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实施方案重点工作事项完成情况、实施效果、资金使用、政策宣传情况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r>
      <w:tr>
        <w:tblPrEx>
          <w:tblCellMar>
            <w:top w:w="0" w:type="dxa"/>
            <w:left w:w="108" w:type="dxa"/>
            <w:bottom w:w="0" w:type="dxa"/>
            <w:right w:w="108" w:type="dxa"/>
          </w:tblCellMar>
        </w:tblPrEx>
        <w:trPr>
          <w:trHeight w:val="760" w:hRule="atLeast"/>
        </w:trPr>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_GBK" w:hAnsi="方正黑体_GBK" w:eastAsia="方正黑体_GBK" w:cs="方正黑体_GBK"/>
                <w:color w:val="000000"/>
                <w:sz w:val="24"/>
              </w:rPr>
            </w:pPr>
          </w:p>
        </w:tc>
        <w:tc>
          <w:tcPr>
            <w:tcW w:w="9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黑体_GBK" w:hAnsi="方正黑体_GBK" w:eastAsia="方正黑体_GBK" w:cs="方正黑体_GBK"/>
                <w:color w:val="000000"/>
                <w:sz w:val="24"/>
              </w:rPr>
            </w:pP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政府性融资担保体系建设、政策性业务开展情况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r>
      <w:tr>
        <w:tblPrEx>
          <w:tblCellMar>
            <w:top w:w="0" w:type="dxa"/>
            <w:left w:w="108" w:type="dxa"/>
            <w:bottom w:w="0" w:type="dxa"/>
            <w:right w:w="108" w:type="dxa"/>
          </w:tblCellMar>
        </w:tblPrEx>
        <w:trPr>
          <w:trHeight w:val="760" w:hRule="atLeast"/>
        </w:trPr>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_GBK" w:hAnsi="方正黑体_GBK" w:eastAsia="方正黑体_GBK" w:cs="方正黑体_GBK"/>
                <w:color w:val="000000"/>
                <w:sz w:val="24"/>
              </w:rPr>
            </w:pPr>
          </w:p>
        </w:tc>
        <w:tc>
          <w:tcPr>
            <w:tcW w:w="9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黑体_GBK" w:hAnsi="方正黑体_GBK" w:eastAsia="方正黑体_GBK" w:cs="方正黑体_GBK"/>
                <w:color w:val="000000"/>
                <w:sz w:val="24"/>
              </w:rPr>
            </w:pP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财政、金融、产业政策联动及产品服务创新情况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r>
      <w:tr>
        <w:tblPrEx>
          <w:tblCellMar>
            <w:top w:w="0" w:type="dxa"/>
            <w:left w:w="108" w:type="dxa"/>
            <w:bottom w:w="0" w:type="dxa"/>
            <w:right w:w="108" w:type="dxa"/>
          </w:tblCellMar>
        </w:tblPrEx>
        <w:trPr>
          <w:trHeight w:val="315" w:hRule="atLeast"/>
        </w:trPr>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_GBK" w:hAnsi="方正黑体_GBK" w:eastAsia="方正黑体_GBK" w:cs="方正黑体_GBK"/>
                <w:color w:val="000000"/>
                <w:sz w:val="24"/>
              </w:rPr>
            </w:pPr>
          </w:p>
        </w:tc>
        <w:tc>
          <w:tcPr>
            <w:tcW w:w="918"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合计得分</w:t>
            </w:r>
          </w:p>
        </w:tc>
        <w:tc>
          <w:tcPr>
            <w:tcW w:w="2606" w:type="dxa"/>
            <w:tcBorders>
              <w:top w:val="single" w:color="000000" w:sz="4" w:space="0"/>
              <w:left w:val="nil"/>
              <w:bottom w:val="single" w:color="000000" w:sz="4" w:space="0"/>
              <w:right w:val="nil"/>
            </w:tcBorders>
            <w:shd w:val="clear" w:color="auto" w:fill="auto"/>
            <w:vAlign w:val="center"/>
          </w:tcPr>
          <w:p>
            <w:pPr>
              <w:jc w:val="center"/>
              <w:rPr>
                <w:rFonts w:ascii="方正黑体_GBK" w:hAnsi="方正黑体_GBK" w:eastAsia="方正黑体_GBK" w:cs="方正黑体_GBK"/>
                <w:color w:val="000000"/>
                <w:sz w:val="24"/>
              </w:rPr>
            </w:pPr>
          </w:p>
        </w:tc>
        <w:tc>
          <w:tcPr>
            <w:tcW w:w="975" w:type="dxa"/>
            <w:tcBorders>
              <w:top w:val="single" w:color="000000" w:sz="4" w:space="0"/>
              <w:left w:val="nil"/>
              <w:bottom w:val="single" w:color="000000" w:sz="4" w:space="0"/>
              <w:right w:val="nil"/>
            </w:tcBorders>
            <w:shd w:val="clear" w:color="auto" w:fill="auto"/>
            <w:vAlign w:val="center"/>
          </w:tcPr>
          <w:p>
            <w:pPr>
              <w:jc w:val="center"/>
              <w:rPr>
                <w:rFonts w:ascii="方正黑体_GBK" w:hAnsi="方正黑体_GBK" w:eastAsia="方正黑体_GBK" w:cs="方正黑体_GBK"/>
                <w:color w:val="000000"/>
                <w:sz w:val="24"/>
              </w:rPr>
            </w:pPr>
          </w:p>
        </w:tc>
        <w:tc>
          <w:tcPr>
            <w:tcW w:w="1574" w:type="dxa"/>
            <w:tcBorders>
              <w:top w:val="single" w:color="000000" w:sz="4" w:space="0"/>
              <w:left w:val="nil"/>
              <w:bottom w:val="single" w:color="000000" w:sz="4" w:space="0"/>
              <w:right w:val="nil"/>
            </w:tcBorders>
            <w:shd w:val="clear" w:color="auto" w:fill="auto"/>
            <w:vAlign w:val="center"/>
          </w:tcPr>
          <w:p>
            <w:pPr>
              <w:jc w:val="center"/>
              <w:rPr>
                <w:rFonts w:ascii="方正黑体_GBK" w:hAnsi="方正黑体_GBK" w:eastAsia="方正黑体_GBK" w:cs="方正黑体_GBK"/>
                <w:color w:val="000000"/>
                <w:sz w:val="24"/>
              </w:rPr>
            </w:pPr>
          </w:p>
        </w:tc>
        <w:tc>
          <w:tcPr>
            <w:tcW w:w="1704" w:type="dxa"/>
            <w:tcBorders>
              <w:top w:val="single" w:color="000000" w:sz="4" w:space="0"/>
              <w:left w:val="nil"/>
              <w:bottom w:val="single" w:color="000000" w:sz="4" w:space="0"/>
              <w:right w:val="nil"/>
            </w:tcBorders>
            <w:shd w:val="clear" w:color="auto" w:fill="auto"/>
            <w:vAlign w:val="center"/>
          </w:tcPr>
          <w:p>
            <w:pPr>
              <w:jc w:val="center"/>
              <w:rPr>
                <w:rFonts w:ascii="方正黑体_GBK" w:hAnsi="方正黑体_GBK" w:eastAsia="方正黑体_GBK" w:cs="方正黑体_GBK"/>
                <w:color w:val="000000"/>
                <w:sz w:val="24"/>
              </w:rPr>
            </w:pPr>
          </w:p>
        </w:tc>
        <w:tc>
          <w:tcPr>
            <w:tcW w:w="2082"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方正黑体_GBK" w:hAnsi="方正黑体_GBK" w:eastAsia="方正黑体_GBK" w:cs="方正黑体_GBK"/>
                <w:color w:val="000000"/>
                <w:sz w:val="24"/>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4"/>
              </w:rPr>
            </w:pPr>
          </w:p>
        </w:tc>
      </w:tr>
      <w:tr>
        <w:tblPrEx>
          <w:tblCellMar>
            <w:top w:w="0" w:type="dxa"/>
            <w:left w:w="108" w:type="dxa"/>
            <w:bottom w:w="0" w:type="dxa"/>
            <w:right w:w="108" w:type="dxa"/>
          </w:tblCellMar>
        </w:tblPrEx>
        <w:trPr>
          <w:trHeight w:val="315" w:hRule="atLeast"/>
        </w:trPr>
        <w:tc>
          <w:tcPr>
            <w:tcW w:w="13028" w:type="dxa"/>
            <w:gridSpan w:val="9"/>
            <w:tcBorders>
              <w:top w:val="single" w:color="000000" w:sz="4" w:space="0"/>
              <w:left w:val="nil"/>
              <w:bottom w:val="nil"/>
              <w:right w:val="nil"/>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注：1.每项定量指标得分=目标完成率×该项指标满分，若目标完成率≥1，则该项指标得满分；若目标完成率≤0，则该项目得零分。</w:t>
            </w:r>
            <w:r>
              <w:rPr>
                <w:rFonts w:hint="eastAsia" w:ascii="方正仿宋_GBK" w:hAnsi="方正仿宋_GBK" w:eastAsia="方正仿宋_GBK" w:cs="方正仿宋_GBK"/>
                <w:color w:val="000000"/>
                <w:kern w:val="0"/>
                <w:sz w:val="24"/>
                <w:lang w:bidi="ar"/>
              </w:rPr>
              <w:br w:type="textWrapping"/>
            </w:r>
            <w:r>
              <w:rPr>
                <w:rFonts w:hint="eastAsia" w:ascii="方正仿宋_GBK" w:hAnsi="方正仿宋_GBK" w:eastAsia="方正仿宋_GBK" w:cs="方正仿宋_GBK"/>
                <w:color w:val="000000"/>
                <w:kern w:val="0"/>
                <w:sz w:val="24"/>
                <w:lang w:bidi="ar"/>
              </w:rPr>
              <w:t xml:space="preserve">     2.数值保留小数点后两位。</w:t>
            </w:r>
          </w:p>
        </w:tc>
      </w:tr>
    </w:tbl>
    <w:p>
      <w:pPr>
        <w:rPr>
          <w:rFonts w:ascii="Times New Roman" w:hAnsi="Times New Roman" w:eastAsia="方正仿宋_GBK" w:cs="Times New Roman"/>
          <w:sz w:val="32"/>
          <w:szCs w:val="32"/>
        </w:rPr>
      </w:pPr>
    </w:p>
    <w:p>
      <w:pPr>
        <w:tabs>
          <w:tab w:val="left" w:pos="1547"/>
        </w:tabs>
        <w:rPr>
          <w:rFonts w:ascii="方正仿宋_GBK" w:hAnsi="方正仿宋_GBK" w:eastAsia="方正仿宋_GBK" w:cs="方正仿宋_GBK"/>
          <w:sz w:val="32"/>
          <w:szCs w:val="32"/>
        </w:rPr>
      </w:pPr>
    </w:p>
    <w:sectPr>
      <w:headerReference r:id="rId13" w:type="default"/>
      <w:footerReference r:id="rId14" w:type="default"/>
      <w:pgSz w:w="16838" w:h="11906" w:orient="landscape"/>
      <w:pgMar w:top="1587" w:right="2098" w:bottom="1474" w:left="1984"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pBdr>
      <w:ind w:left="4788" w:leftChars="2280" w:firstLine="6400" w:firstLineChars="2000"/>
      <w:rPr>
        <w:rFonts w:eastAsia="仿宋"/>
        <w:sz w:val="32"/>
        <w:szCs w:val="48"/>
      </w:rPr>
    </w:pPr>
    <w:r>
      <w:rPr>
        <w:sz w:val="32"/>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- 19 -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- 19 -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tabs>
        <w:tab w:val="center" w:pos="5103"/>
        <w:tab w:val="clear" w:pos="4153"/>
        <w:tab w:val="clear" w:pos="8306"/>
      </w:tabs>
      <w:wordWrap w:val="0"/>
      <w:spacing w:before="240" w:beforeLines="100"/>
      <w:ind w:left="10489" w:leftChars="4995" w:right="11"/>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5408" behindDoc="0" locked="0" layoutInCell="1" allowOverlap="1">
              <wp:simplePos x="0" y="0"/>
              <wp:positionH relativeFrom="column">
                <wp:posOffset>-635</wp:posOffset>
              </wp:positionH>
              <wp:positionV relativeFrom="paragraph">
                <wp:posOffset>144145</wp:posOffset>
              </wp:positionV>
              <wp:extent cx="8112760" cy="0"/>
              <wp:effectExtent l="0" t="0" r="34290" b="27940"/>
              <wp:wrapNone/>
              <wp:docPr id="11" name="直接连接符 11"/>
              <wp:cNvGraphicFramePr/>
              <a:graphic xmlns:a="http://schemas.openxmlformats.org/drawingml/2006/main">
                <a:graphicData uri="http://schemas.microsoft.com/office/word/2010/wordprocessingShape">
                  <wps:wsp>
                    <wps:cNvCnPr/>
                    <wps:spPr>
                      <a:xfrm>
                        <a:off x="0" y="0"/>
                        <a:ext cx="811276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11.35pt;height:0pt;width:638.8pt;z-index:251665408;mso-width-relative:page;mso-height-relative:page;" filled="f" stroked="t" coordsize="21600,21600" o:gfxdata="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v1bIg1AAAAAgB&#10;AAAPAAAAAAAAAAEAIAAAACIAAABkcnMvZG93bnJldi54bWxQSwECFAAUAAAACACHTuJAyqBudOYB&#10;AAC0AwAADgAAAAAAAAABACAAAAAj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发布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UCbQ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dUCbQtAgAAVwQAAA4AAAAAAAAAAQAgAAAAHwEAAGRycy9lMm9Eb2MueG1sUEsFBgAAAAAG&#10;AAYAWQEAAL4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9" name="直接连接符 59"/>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7052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OnpdHU&#10;AAAABgEAAA8AAAAAAAAAAQAgAAAAIgAAAGRycy9kb3ducmV2LnhtbFBLAQIUABQAAAAIAIdO4kCz&#10;gVBi6wEAALcDAAAOAAAAAAAAAAEAIAAAACMBAABkcnMvZTJvRG9jLnhtbFBLBQYAAAAABgAGAFkB&#10;AACABQ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pBdr>
      <w:ind w:left="4788" w:leftChars="2280" w:firstLine="6400" w:firstLineChars="2000"/>
      <w:rPr>
        <w:rFonts w:eastAsia="仿宋"/>
        <w:sz w:val="32"/>
        <w:szCs w:val="48"/>
      </w:rPr>
    </w:pPr>
    <w:r>
      <w:rPr>
        <w:sz w:val="32"/>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0XPDI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dFzwyKwIAAFc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- 24 -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tabs>
        <w:tab w:val="center" w:pos="5103"/>
        <w:tab w:val="clear" w:pos="4153"/>
        <w:tab w:val="clear" w:pos="8306"/>
      </w:tabs>
      <w:wordWrap w:val="0"/>
      <w:spacing w:before="240" w:beforeLines="100"/>
      <w:ind w:left="10489" w:leftChars="4995" w:right="11"/>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73600" behindDoc="0" locked="0" layoutInCell="1" allowOverlap="1">
              <wp:simplePos x="0" y="0"/>
              <wp:positionH relativeFrom="column">
                <wp:posOffset>-635</wp:posOffset>
              </wp:positionH>
              <wp:positionV relativeFrom="paragraph">
                <wp:posOffset>144145</wp:posOffset>
              </wp:positionV>
              <wp:extent cx="8112760" cy="0"/>
              <wp:effectExtent l="0" t="0" r="34290" b="27940"/>
              <wp:wrapNone/>
              <wp:docPr id="67" name="直接连接符 67"/>
              <wp:cNvGraphicFramePr/>
              <a:graphic xmlns:a="http://schemas.openxmlformats.org/drawingml/2006/main">
                <a:graphicData uri="http://schemas.microsoft.com/office/word/2010/wordprocessingShape">
                  <wps:wsp>
                    <wps:cNvCnPr/>
                    <wps:spPr>
                      <a:xfrm>
                        <a:off x="0" y="0"/>
                        <a:ext cx="811276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11.35pt;height:0pt;width:638.8pt;z-index:251673600;mso-width-relative:page;mso-height-relative:page;" filled="f" stroked="t" coordsize="21600,21600" o:gfxdata="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79WyINQAAAAI&#10;AQAADwAAAAAAAAABACAAAAAiAAAAZHJzL2Rvd25yZXYueG1sUEsBAhQAFAAAAAgAh07iQALcEyHn&#10;AQAAtAMAAA4AAAAAAAAAAQAgAAAAIwEAAGRycy9lMm9Eb2MueG1sUEsFBgAAAAAGAAYAWQEAAHwF&#10;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发布</w:t>
    </w:r>
  </w:p>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- 28 -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OeHo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f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FOeHotAgAAVwQAAA4AAAAAAAAAAQAgAAAAHwEAAGRycy9lMm9Eb2MueG1sUEsFBgAAAAAG&#10;AAYAWQEAAL4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- 28 -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85" name="直接连接符 8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7667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6el0dQA&#10;AAAGAQAADwAAAAAAAAABACAAAAAiAAAAZHJzL2Rvd25yZXYueG1sUEsBAhQAFAAAAAgAh07iQArN&#10;P6LqAQAAtwMAAA4AAAAAAAAAAQAgAAAAIwEAAGRycy9lMm9Eb2MueG1sUEsFBgAAAAAGAAYAWQEA&#10;AH8FA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pPr>
      <w:pStyle w:val="5"/>
    </w:pPr>
  </w:p>
  <w:p>
    <w:pPr>
      <w:pStyle w:val="5"/>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pBdr>
      <w:ind w:left="4788" w:leftChars="2280" w:firstLine="6400" w:firstLineChars="2000"/>
      <w:rPr>
        <w:rFonts w:eastAsia="仿宋"/>
        <w:sz w:val="32"/>
        <w:szCs w:val="48"/>
      </w:rPr>
    </w:pPr>
    <w:r>
      <w:rPr>
        <w:sz w:val="32"/>
      </w:rPr>
      <mc:AlternateContent>
        <mc:Choice Requires="wps">
          <w:drawing>
            <wp:anchor distT="0" distB="0" distL="114300" distR="114300" simplePos="0" relativeHeight="2516807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30</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laO5nCwCAABZBAAADgAAAAAAAAABACAAAAAfAQAAZHJzL2Uyb0RvYy54bWxQSwUGAAAAAAYA&#10;BgBZAQAAvQU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30</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tabs>
        <w:tab w:val="center" w:pos="5103"/>
        <w:tab w:val="clear" w:pos="4153"/>
        <w:tab w:val="clear" w:pos="8306"/>
      </w:tabs>
      <w:wordWrap w:val="0"/>
      <w:spacing w:before="240" w:beforeLines="100"/>
      <w:ind w:left="10489" w:leftChars="4995" w:right="11"/>
      <w:rPr>
        <w:rFonts w:hint="eastAsia"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79744" behindDoc="0" locked="0" layoutInCell="1" allowOverlap="1">
              <wp:simplePos x="0" y="0"/>
              <wp:positionH relativeFrom="column">
                <wp:posOffset>-635</wp:posOffset>
              </wp:positionH>
              <wp:positionV relativeFrom="paragraph">
                <wp:posOffset>144145</wp:posOffset>
              </wp:positionV>
              <wp:extent cx="8112760" cy="0"/>
              <wp:effectExtent l="0" t="0" r="34290" b="27940"/>
              <wp:wrapNone/>
              <wp:docPr id="107" name="直接连接符 107"/>
              <wp:cNvGraphicFramePr/>
              <a:graphic xmlns:a="http://schemas.openxmlformats.org/drawingml/2006/main">
                <a:graphicData uri="http://schemas.microsoft.com/office/word/2010/wordprocessingShape">
                  <wps:wsp>
                    <wps:cNvCnPr/>
                    <wps:spPr>
                      <a:xfrm>
                        <a:off x="0" y="0"/>
                        <a:ext cx="811276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11.35pt;height:0pt;width:638.8pt;z-index:251679744;mso-width-relative:page;mso-height-relative:page;" filled="f" stroked="t" coordsize="21600,21600" o:gfxdata="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79WyINQAAAAI&#10;AQAADwAAAAAAAAABACAAAAAiAAAAZHJzL2Rvd25yZXYueG1sUEsBAhQAFAAAAAgAh07iQO66yn3n&#10;AQAAtgMAAA4AAAAAAAAAAQAgAAAAIwEAAGRycy9lMm9Eb2MueG1sUEsFBgAAAAAGAAYAWQEAAHwF&#10;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sz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重庆市财政局行政</w:t>
    </w:r>
    <w:r>
      <w:rPr>
        <w:rFonts w:hint="eastAsia" w:ascii="宋体" w:hAnsi="宋体" w:eastAsia="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sz w:val="32"/>
      </w:rPr>
    </w:pPr>
  </w:p>
  <w:p>
    <w:pPr>
      <w:pStyle w:val="6"/>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3360" behindDoc="0" locked="0" layoutInCell="1" allowOverlap="1">
              <wp:simplePos x="0" y="0"/>
              <wp:positionH relativeFrom="column">
                <wp:posOffset>1905</wp:posOffset>
              </wp:positionH>
              <wp:positionV relativeFrom="paragraph">
                <wp:posOffset>326390</wp:posOffset>
              </wp:positionV>
              <wp:extent cx="8197850" cy="0"/>
              <wp:effectExtent l="0" t="0" r="32385" b="19050"/>
              <wp:wrapNone/>
              <wp:docPr id="7" name="直接连接符 7"/>
              <wp:cNvGraphicFramePr/>
              <a:graphic xmlns:a="http://schemas.openxmlformats.org/drawingml/2006/main">
                <a:graphicData uri="http://schemas.microsoft.com/office/word/2010/wordprocessingShape">
                  <wps:wsp>
                    <wps:cNvCnPr/>
                    <wps:spPr>
                      <a:xfrm>
                        <a:off x="0" y="0"/>
                        <a:ext cx="8197801"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25.7pt;height:0pt;width:645.5pt;z-index:251663360;mso-width-relative:page;mso-height-relative:page;" filled="f" stroked="t" coordsize="21600,21600" o:gfxdata="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6OGq9IAAAAHAQAA&#10;DwAAAAAAAAABACAAAAAiAAAAZHJzL2Rvd25yZXYueG1sUEsBAhQAFAAAAAgAh07iQF2Jmh3mAQAA&#10;sgMAAA4AAAAAAAAAAQAgAAAAIQEAAGRycy9lMm9Eb2MueG1sUEsFBgAAAAAGAAYAWQEAAHkFAAAA&#10;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9" name="图片 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重庆市财政局行政</w:t>
    </w:r>
    <w:r>
      <w:rPr>
        <w:rFonts w:hint="eastAsia" w:ascii="宋体" w:hAnsi="宋体" w:eastAsia="宋体" w:cs="宋体"/>
        <w:b/>
        <w:bCs/>
        <w:color w:val="005192"/>
        <w:sz w:val="32"/>
        <w:szCs w:val="32"/>
        <w:lang w:eastAsia="zh-Hans"/>
      </w:rPr>
      <w:t>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sz w:val="32"/>
      </w:rPr>
    </w:pPr>
  </w:p>
  <w:p>
    <w:pPr>
      <w:pStyle w:val="6"/>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8480" behindDoc="0" locked="0" layoutInCell="1" allowOverlap="1">
              <wp:simplePos x="0" y="0"/>
              <wp:positionH relativeFrom="column">
                <wp:posOffset>3810</wp:posOffset>
              </wp:positionH>
              <wp:positionV relativeFrom="paragraph">
                <wp:posOffset>323215</wp:posOffset>
              </wp:positionV>
              <wp:extent cx="5603240" cy="0"/>
              <wp:effectExtent l="0" t="0" r="36195" b="19050"/>
              <wp:wrapNone/>
              <wp:docPr id="12" name="直接连接符 12"/>
              <wp:cNvGraphicFramePr/>
              <a:graphic xmlns:a="http://schemas.openxmlformats.org/drawingml/2006/main">
                <a:graphicData uri="http://schemas.microsoft.com/office/word/2010/wordprocessingShape">
                  <wps:wsp>
                    <wps:cNvCnPr/>
                    <wps:spPr>
                      <a:xfrm>
                        <a:off x="0" y="0"/>
                        <a:ext cx="5603132"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25.45pt;height:0pt;width:441.2pt;z-index:251668480;mso-width-relative:page;mso-height-relative:page;" filled="f" stroked="t" coordsize="21600,21600" o:gfxdata="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E9sVC0wAAAAYB&#10;AAAPAAAAAAAAAAEAIAAAACIAAABkcnMvZG93bnJldi54bWxQSwECFAAUAAAACACHTuJA6/tkXecB&#10;AAC0AwAADgAAAAAAAAABACAAAAAi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57" name="图片 5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重庆市财政局行政</w:t>
    </w:r>
    <w:r>
      <w:rPr>
        <w:rFonts w:hint="eastAsia" w:ascii="宋体" w:hAnsi="宋体" w:eastAsia="宋体" w:cs="宋体"/>
        <w:b/>
        <w:bCs/>
        <w:color w:val="005192"/>
        <w:sz w:val="32"/>
        <w:szCs w:val="32"/>
        <w:lang w:eastAsia="zh-Hans"/>
      </w:rPr>
      <w:t>规范性文件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sz w:val="32"/>
      </w:rPr>
    </w:pPr>
  </w:p>
  <w:p>
    <w:pPr>
      <w:pStyle w:val="6"/>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72576" behindDoc="0" locked="0" layoutInCell="1" allowOverlap="1">
              <wp:simplePos x="0" y="0"/>
              <wp:positionH relativeFrom="column">
                <wp:posOffset>1905</wp:posOffset>
              </wp:positionH>
              <wp:positionV relativeFrom="paragraph">
                <wp:posOffset>326390</wp:posOffset>
              </wp:positionV>
              <wp:extent cx="8197850" cy="0"/>
              <wp:effectExtent l="0" t="0" r="32385" b="19050"/>
              <wp:wrapNone/>
              <wp:docPr id="64" name="直接连接符 64"/>
              <wp:cNvGraphicFramePr/>
              <a:graphic xmlns:a="http://schemas.openxmlformats.org/drawingml/2006/main">
                <a:graphicData uri="http://schemas.microsoft.com/office/word/2010/wordprocessingShape">
                  <wps:wsp>
                    <wps:cNvCnPr/>
                    <wps:spPr>
                      <a:xfrm>
                        <a:off x="0" y="0"/>
                        <a:ext cx="8197801"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25.7pt;height:0pt;width:645.5pt;z-index:251672576;mso-width-relative:page;mso-height-relative:page;" filled="f" stroked="t" coordsize="21600,21600" o:gfxdata="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fo4ar0gAAAAcB&#10;AAAPAAAAAAAAAAEAIAAAACIAAABkcnMvZG93bnJldi54bWxQSwECFAAUAAAACACHTuJAyL2S/egB&#10;AAC0AwAADgAAAAAAAAABACAAAAAh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77" name="图片 7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重庆市财政局行政</w:t>
    </w:r>
    <w:r>
      <w:rPr>
        <w:rFonts w:hint="eastAsia" w:ascii="宋体" w:hAnsi="宋体" w:eastAsia="宋体" w:cs="宋体"/>
        <w:b/>
        <w:bCs/>
        <w:color w:val="005192"/>
        <w:sz w:val="32"/>
        <w:szCs w:val="32"/>
        <w:lang w:eastAsia="zh-Hans"/>
      </w:rPr>
      <w:t>规范性文件</w:t>
    </w:r>
  </w:p>
  <w:p>
    <w:pPr>
      <w:pStyle w:val="6"/>
      <w:tabs>
        <w:tab w:val="left" w:pos="3646"/>
        <w:tab w:val="clear" w:pos="4153"/>
        <w:tab w:val="clear" w:pos="8306"/>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sz w:val="32"/>
      </w:rPr>
    </w:pPr>
  </w:p>
  <w:p>
    <w:pPr>
      <w:pStyle w:val="6"/>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75648" behindDoc="0" locked="0" layoutInCell="1" allowOverlap="1">
              <wp:simplePos x="0" y="0"/>
              <wp:positionH relativeFrom="column">
                <wp:posOffset>3810</wp:posOffset>
              </wp:positionH>
              <wp:positionV relativeFrom="paragraph">
                <wp:posOffset>323215</wp:posOffset>
              </wp:positionV>
              <wp:extent cx="5603240" cy="0"/>
              <wp:effectExtent l="0" t="0" r="36195" b="19050"/>
              <wp:wrapNone/>
              <wp:docPr id="82" name="直接连接符 82"/>
              <wp:cNvGraphicFramePr/>
              <a:graphic xmlns:a="http://schemas.openxmlformats.org/drawingml/2006/main">
                <a:graphicData uri="http://schemas.microsoft.com/office/word/2010/wordprocessingShape">
                  <wps:wsp>
                    <wps:cNvCnPr/>
                    <wps:spPr>
                      <a:xfrm>
                        <a:off x="0" y="0"/>
                        <a:ext cx="5603132"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25.45pt;height:0pt;width:441.2pt;z-index:251675648;mso-width-relative:page;mso-height-relative:page;" filled="f" stroked="t" coordsize="21600,21600" o:gfxdata="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E9sVC0wAAAAYB&#10;AAAPAAAAAAAAAAEAIAAAACIAAABkcnMvZG93bnJldi54bWxQSwECFAAUAAAACACHTuJAjclxvOcB&#10;AAC0AwAADgAAAAAAAAABACAAAAAi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83" name="图片 8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重庆市财政局行政</w:t>
    </w:r>
    <w:r>
      <w:rPr>
        <w:rFonts w:hint="eastAsia" w:ascii="宋体" w:hAnsi="宋体" w:eastAsia="宋体" w:cs="宋体"/>
        <w:b/>
        <w:bCs/>
        <w:color w:val="005192"/>
        <w:sz w:val="32"/>
        <w:szCs w:val="32"/>
        <w:lang w:eastAsia="zh-Hans"/>
      </w:rPr>
      <w:t>规范性文件</w:t>
    </w:r>
  </w:p>
  <w:p>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sz w:val="32"/>
      </w:rPr>
    </w:pPr>
  </w:p>
  <w:p>
    <w:pPr>
      <w:pStyle w:val="6"/>
      <w:textAlignment w:val="center"/>
      <w:rPr>
        <w:rFonts w:hint="eastAsia" w:ascii="宋体" w:hAnsi="宋体" w:eastAsia="宋体" w:cs="宋体"/>
        <w:b/>
        <w:bCs/>
        <w:color w:val="005192"/>
        <w:sz w:val="32"/>
        <w:szCs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78720" behindDoc="0" locked="0" layoutInCell="1" allowOverlap="1">
              <wp:simplePos x="0" y="0"/>
              <wp:positionH relativeFrom="column">
                <wp:posOffset>1905</wp:posOffset>
              </wp:positionH>
              <wp:positionV relativeFrom="paragraph">
                <wp:posOffset>326390</wp:posOffset>
              </wp:positionV>
              <wp:extent cx="8197850" cy="0"/>
              <wp:effectExtent l="0" t="0" r="32385" b="19050"/>
              <wp:wrapNone/>
              <wp:docPr id="104" name="直接连接符 104"/>
              <wp:cNvGraphicFramePr/>
              <a:graphic xmlns:a="http://schemas.openxmlformats.org/drawingml/2006/main">
                <a:graphicData uri="http://schemas.microsoft.com/office/word/2010/wordprocessingShape">
                  <wps:wsp>
                    <wps:cNvCnPr/>
                    <wps:spPr>
                      <a:xfrm>
                        <a:off x="0" y="0"/>
                        <a:ext cx="8197801"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25.7pt;height:0pt;width:645.5pt;z-index:251678720;mso-width-relative:page;mso-height-relative:page;" filled="f" stroked="t" coordsize="21600,21600" o:gfxdata="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6OGq9IAAAAH&#10;AQAADwAAAAAAAAABACAAAAAiAAAAZHJzL2Rvd25yZXYueG1sUEsBAhQAFAAAAAgAh07iQIKm/nXp&#10;AQAAtgMAAA4AAAAAAAAAAQAgAAAAIQEAAGRycy9lMm9Eb2MueG1sUEsFBgAAAAAGAAYAWQEAAHwF&#10;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105" name="图片 10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重庆市财政局行政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3NWI2Y2ZkZmY2NGNmNWM4NGY1MDVhNjhlOGY5NjgifQ=="/>
  </w:docVars>
  <w:rsids>
    <w:rsidRoot w:val="00172A27"/>
    <w:rsid w:val="0001734A"/>
    <w:rsid w:val="000374CD"/>
    <w:rsid w:val="000E7AB3"/>
    <w:rsid w:val="0011491C"/>
    <w:rsid w:val="00144A5C"/>
    <w:rsid w:val="00172A27"/>
    <w:rsid w:val="001B1863"/>
    <w:rsid w:val="00294238"/>
    <w:rsid w:val="00493058"/>
    <w:rsid w:val="0049430D"/>
    <w:rsid w:val="004C7073"/>
    <w:rsid w:val="004E512B"/>
    <w:rsid w:val="005F5864"/>
    <w:rsid w:val="00634972"/>
    <w:rsid w:val="00641A06"/>
    <w:rsid w:val="00652094"/>
    <w:rsid w:val="00687E85"/>
    <w:rsid w:val="006D2048"/>
    <w:rsid w:val="007B6836"/>
    <w:rsid w:val="00820EF8"/>
    <w:rsid w:val="00821614"/>
    <w:rsid w:val="008449CD"/>
    <w:rsid w:val="009B75DA"/>
    <w:rsid w:val="00A53159"/>
    <w:rsid w:val="00A6446A"/>
    <w:rsid w:val="00C72ECA"/>
    <w:rsid w:val="00D709D9"/>
    <w:rsid w:val="00DF1A25"/>
    <w:rsid w:val="00E27E21"/>
    <w:rsid w:val="00E6412E"/>
    <w:rsid w:val="00E71355"/>
    <w:rsid w:val="00F36C28"/>
    <w:rsid w:val="00F63495"/>
    <w:rsid w:val="00F9797F"/>
    <w:rsid w:val="00FB69E8"/>
    <w:rsid w:val="019E71BD"/>
    <w:rsid w:val="041C42DA"/>
    <w:rsid w:val="04B679C3"/>
    <w:rsid w:val="05F07036"/>
    <w:rsid w:val="06E00104"/>
    <w:rsid w:val="073E58E7"/>
    <w:rsid w:val="080F63D8"/>
    <w:rsid w:val="09104908"/>
    <w:rsid w:val="09341458"/>
    <w:rsid w:val="098254C2"/>
    <w:rsid w:val="0A766EDE"/>
    <w:rsid w:val="0AD64BE8"/>
    <w:rsid w:val="0AF344E1"/>
    <w:rsid w:val="0B0912D7"/>
    <w:rsid w:val="0C533B59"/>
    <w:rsid w:val="0E025194"/>
    <w:rsid w:val="10CE177B"/>
    <w:rsid w:val="14ED62FD"/>
    <w:rsid w:val="152D2DCA"/>
    <w:rsid w:val="1542409B"/>
    <w:rsid w:val="17740CDB"/>
    <w:rsid w:val="187168EA"/>
    <w:rsid w:val="196673CA"/>
    <w:rsid w:val="1A7E2D2E"/>
    <w:rsid w:val="1B2F4AEE"/>
    <w:rsid w:val="1B6E65E0"/>
    <w:rsid w:val="1CF20EDD"/>
    <w:rsid w:val="1CF734C9"/>
    <w:rsid w:val="1DEC284C"/>
    <w:rsid w:val="1E6523AC"/>
    <w:rsid w:val="20CD6572"/>
    <w:rsid w:val="22047DB3"/>
    <w:rsid w:val="22440422"/>
    <w:rsid w:val="22BB4BBB"/>
    <w:rsid w:val="2AEB3417"/>
    <w:rsid w:val="2AFC5A4D"/>
    <w:rsid w:val="2BE47802"/>
    <w:rsid w:val="31A15F24"/>
    <w:rsid w:val="324A1681"/>
    <w:rsid w:val="36FB1DF0"/>
    <w:rsid w:val="395347B5"/>
    <w:rsid w:val="39A232A0"/>
    <w:rsid w:val="39E745AA"/>
    <w:rsid w:val="3B5A6BBB"/>
    <w:rsid w:val="3EDA13A6"/>
    <w:rsid w:val="417B75E9"/>
    <w:rsid w:val="42F058B7"/>
    <w:rsid w:val="436109F6"/>
    <w:rsid w:val="440F6F8F"/>
    <w:rsid w:val="441A38D4"/>
    <w:rsid w:val="4504239D"/>
    <w:rsid w:val="45DB7FCA"/>
    <w:rsid w:val="46306ED8"/>
    <w:rsid w:val="4BC77339"/>
    <w:rsid w:val="4C9236C5"/>
    <w:rsid w:val="4E250A85"/>
    <w:rsid w:val="4FFD4925"/>
    <w:rsid w:val="50556F0A"/>
    <w:rsid w:val="505C172E"/>
    <w:rsid w:val="506405EA"/>
    <w:rsid w:val="52F46F0B"/>
    <w:rsid w:val="532B6A10"/>
    <w:rsid w:val="53D8014D"/>
    <w:rsid w:val="54CB12AC"/>
    <w:rsid w:val="55E064E0"/>
    <w:rsid w:val="56F45D33"/>
    <w:rsid w:val="572C6D10"/>
    <w:rsid w:val="5AF71CAC"/>
    <w:rsid w:val="5DC34279"/>
    <w:rsid w:val="5FCD688E"/>
    <w:rsid w:val="5FF9BDAA"/>
    <w:rsid w:val="5FFE5333"/>
    <w:rsid w:val="608816D1"/>
    <w:rsid w:val="60E16CF5"/>
    <w:rsid w:val="60EF4E7F"/>
    <w:rsid w:val="640B7E04"/>
    <w:rsid w:val="648B0A32"/>
    <w:rsid w:val="665233C1"/>
    <w:rsid w:val="69AC0D42"/>
    <w:rsid w:val="6AD9688B"/>
    <w:rsid w:val="6ADB59E8"/>
    <w:rsid w:val="6D0E3F22"/>
    <w:rsid w:val="744E4660"/>
    <w:rsid w:val="753355A2"/>
    <w:rsid w:val="759F1C61"/>
    <w:rsid w:val="769F2DE8"/>
    <w:rsid w:val="76FDEB7C"/>
    <w:rsid w:val="79C65162"/>
    <w:rsid w:val="7C22076C"/>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Indent"/>
    <w:basedOn w:val="1"/>
    <w:link w:val="12"/>
    <w:autoRedefine/>
    <w:unhideWhenUsed/>
    <w:qFormat/>
    <w:uiPriority w:val="99"/>
    <w:pPr>
      <w:spacing w:after="120"/>
      <w:ind w:left="420" w:leftChars="200"/>
    </w:pPr>
    <w:rPr>
      <w:rFonts w:ascii="Calibri" w:hAnsi="Calibri" w:eastAsia="宋体" w:cs="宋体"/>
    </w:rPr>
  </w:style>
  <w:style w:type="paragraph" w:styleId="5">
    <w:name w:val="footer"/>
    <w:basedOn w:val="1"/>
    <w:link w:val="36"/>
    <w:autoRedefine/>
    <w:qFormat/>
    <w:uiPriority w:val="0"/>
    <w:pPr>
      <w:tabs>
        <w:tab w:val="center" w:pos="4153"/>
        <w:tab w:val="right" w:pos="8306"/>
      </w:tabs>
      <w:snapToGrid w:val="0"/>
      <w:jc w:val="left"/>
    </w:pPr>
    <w:rPr>
      <w:sz w:val="18"/>
    </w:rPr>
  </w:style>
  <w:style w:type="paragraph" w:styleId="6">
    <w:name w:val="header"/>
    <w:basedOn w:val="1"/>
    <w:link w:val="26"/>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Autospacing="1" w:afterAutospacing="1"/>
      <w:jc w:val="left"/>
    </w:pPr>
    <w:rPr>
      <w:rFonts w:cs="Times New Roman"/>
      <w:kern w:val="0"/>
      <w:sz w:val="24"/>
    </w:rPr>
  </w:style>
  <w:style w:type="character" w:styleId="10">
    <w:name w:val="Strong"/>
    <w:basedOn w:val="9"/>
    <w:autoRedefine/>
    <w:qFormat/>
    <w:uiPriority w:val="0"/>
    <w:rPr>
      <w:b/>
      <w:bCs/>
    </w:rPr>
  </w:style>
  <w:style w:type="paragraph" w:customStyle="1" w:styleId="11">
    <w:name w:val="p0"/>
    <w:basedOn w:val="1"/>
    <w:autoRedefine/>
    <w:qFormat/>
    <w:uiPriority w:val="0"/>
    <w:pPr>
      <w:widowControl/>
    </w:pPr>
    <w:rPr>
      <w:rFonts w:ascii="Calibri" w:hAnsi="Calibri" w:eastAsia="宋体" w:cs="宋体"/>
      <w:kern w:val="0"/>
      <w:szCs w:val="32"/>
    </w:rPr>
  </w:style>
  <w:style w:type="character" w:customStyle="1" w:styleId="12">
    <w:name w:val="正文文本缩进 字符"/>
    <w:basedOn w:val="9"/>
    <w:link w:val="4"/>
    <w:autoRedefine/>
    <w:qFormat/>
    <w:uiPriority w:val="99"/>
    <w:rPr>
      <w:rFonts w:ascii="Calibri" w:hAnsi="Calibri" w:cs="宋体"/>
      <w:kern w:val="2"/>
      <w:sz w:val="21"/>
      <w:szCs w:val="24"/>
    </w:rPr>
  </w:style>
  <w:style w:type="character" w:customStyle="1" w:styleId="13">
    <w:name w:val="font141"/>
    <w:basedOn w:val="9"/>
    <w:autoRedefine/>
    <w:qFormat/>
    <w:uiPriority w:val="0"/>
    <w:rPr>
      <w:rFonts w:ascii="黑体" w:hAnsi="宋体" w:eastAsia="黑体" w:cs="黑体"/>
      <w:color w:val="000000"/>
      <w:sz w:val="24"/>
      <w:szCs w:val="24"/>
      <w:u w:val="none"/>
    </w:rPr>
  </w:style>
  <w:style w:type="character" w:customStyle="1" w:styleId="14">
    <w:name w:val="font112"/>
    <w:basedOn w:val="9"/>
    <w:autoRedefine/>
    <w:qFormat/>
    <w:uiPriority w:val="0"/>
    <w:rPr>
      <w:rFonts w:hint="default" w:ascii="Times New Roman" w:hAnsi="Times New Roman" w:cs="Times New Roman"/>
      <w:color w:val="000000"/>
      <w:sz w:val="24"/>
      <w:szCs w:val="24"/>
      <w:u w:val="none"/>
    </w:rPr>
  </w:style>
  <w:style w:type="character" w:customStyle="1" w:styleId="15">
    <w:name w:val="font151"/>
    <w:basedOn w:val="9"/>
    <w:autoRedefine/>
    <w:qFormat/>
    <w:uiPriority w:val="0"/>
    <w:rPr>
      <w:rFonts w:hint="default" w:ascii="Times New Roman" w:hAnsi="Times New Roman" w:cs="Times New Roman"/>
      <w:color w:val="000000"/>
      <w:sz w:val="22"/>
      <w:szCs w:val="22"/>
      <w:u w:val="none"/>
    </w:rPr>
  </w:style>
  <w:style w:type="character" w:customStyle="1" w:styleId="16">
    <w:name w:val="font41"/>
    <w:basedOn w:val="9"/>
    <w:autoRedefine/>
    <w:qFormat/>
    <w:uiPriority w:val="0"/>
    <w:rPr>
      <w:rFonts w:hint="default" w:ascii="Times New Roman" w:hAnsi="Times New Roman" w:cs="Times New Roman"/>
      <w:color w:val="000000"/>
      <w:sz w:val="22"/>
      <w:szCs w:val="22"/>
      <w:u w:val="none"/>
    </w:rPr>
  </w:style>
  <w:style w:type="character" w:customStyle="1" w:styleId="17">
    <w:name w:val="font11"/>
    <w:basedOn w:val="9"/>
    <w:autoRedefine/>
    <w:qFormat/>
    <w:uiPriority w:val="0"/>
    <w:rPr>
      <w:rFonts w:hint="eastAsia" w:ascii="宋体" w:hAnsi="宋体" w:eastAsia="宋体" w:cs="宋体"/>
      <w:color w:val="000000"/>
      <w:sz w:val="22"/>
      <w:szCs w:val="22"/>
      <w:u w:val="none"/>
    </w:rPr>
  </w:style>
  <w:style w:type="character" w:customStyle="1" w:styleId="18">
    <w:name w:val="font01"/>
    <w:basedOn w:val="9"/>
    <w:autoRedefine/>
    <w:qFormat/>
    <w:uiPriority w:val="0"/>
    <w:rPr>
      <w:rFonts w:hint="eastAsia" w:ascii="宋体" w:hAnsi="宋体" w:eastAsia="宋体" w:cs="宋体"/>
      <w:color w:val="000000"/>
      <w:sz w:val="22"/>
      <w:szCs w:val="22"/>
      <w:u w:val="none"/>
    </w:rPr>
  </w:style>
  <w:style w:type="character" w:customStyle="1" w:styleId="19">
    <w:name w:val="font71"/>
    <w:basedOn w:val="9"/>
    <w:autoRedefine/>
    <w:qFormat/>
    <w:uiPriority w:val="0"/>
    <w:rPr>
      <w:rFonts w:hint="eastAsia" w:ascii="宋体" w:hAnsi="宋体" w:eastAsia="宋体" w:cs="宋体"/>
      <w:color w:val="000000"/>
      <w:sz w:val="24"/>
      <w:szCs w:val="24"/>
      <w:u w:val="none"/>
    </w:rPr>
  </w:style>
  <w:style w:type="character" w:customStyle="1" w:styleId="20">
    <w:name w:val="font31"/>
    <w:basedOn w:val="9"/>
    <w:autoRedefine/>
    <w:qFormat/>
    <w:uiPriority w:val="0"/>
    <w:rPr>
      <w:rFonts w:hint="eastAsia" w:ascii="宋体" w:hAnsi="宋体" w:eastAsia="宋体" w:cs="宋体"/>
      <w:color w:val="000000"/>
      <w:sz w:val="24"/>
      <w:szCs w:val="24"/>
      <w:u w:val="none"/>
    </w:rPr>
  </w:style>
  <w:style w:type="character" w:customStyle="1" w:styleId="21">
    <w:name w:val="font221"/>
    <w:basedOn w:val="9"/>
    <w:autoRedefine/>
    <w:qFormat/>
    <w:uiPriority w:val="0"/>
    <w:rPr>
      <w:rFonts w:hint="default" w:ascii="Times New Roman" w:hAnsi="Times New Roman" w:cs="Times New Roman"/>
      <w:color w:val="000000"/>
      <w:sz w:val="24"/>
      <w:szCs w:val="24"/>
      <w:u w:val="none"/>
    </w:rPr>
  </w:style>
  <w:style w:type="character" w:customStyle="1" w:styleId="22">
    <w:name w:val="font241"/>
    <w:basedOn w:val="9"/>
    <w:autoRedefine/>
    <w:qFormat/>
    <w:uiPriority w:val="0"/>
    <w:rPr>
      <w:rFonts w:hint="default" w:ascii="Times New Roman" w:hAnsi="Times New Roman" w:cs="Times New Roman"/>
      <w:color w:val="000000"/>
      <w:sz w:val="32"/>
      <w:szCs w:val="32"/>
      <w:u w:val="single"/>
    </w:rPr>
  </w:style>
  <w:style w:type="character" w:customStyle="1" w:styleId="23">
    <w:name w:val="font251"/>
    <w:basedOn w:val="9"/>
    <w:autoRedefine/>
    <w:qFormat/>
    <w:uiPriority w:val="0"/>
    <w:rPr>
      <w:rFonts w:hint="eastAsia" w:ascii="宋体" w:hAnsi="宋体" w:eastAsia="宋体" w:cs="宋体"/>
      <w:color w:val="000000"/>
      <w:sz w:val="20"/>
      <w:szCs w:val="20"/>
      <w:u w:val="none"/>
    </w:rPr>
  </w:style>
  <w:style w:type="character" w:customStyle="1" w:styleId="24">
    <w:name w:val="font231"/>
    <w:basedOn w:val="9"/>
    <w:autoRedefine/>
    <w:qFormat/>
    <w:uiPriority w:val="0"/>
    <w:rPr>
      <w:rFonts w:hint="eastAsia" w:ascii="宋体" w:hAnsi="宋体" w:eastAsia="宋体" w:cs="宋体"/>
      <w:b/>
      <w:bCs/>
      <w:color w:val="000000"/>
      <w:sz w:val="16"/>
      <w:szCs w:val="16"/>
      <w:u w:val="none"/>
    </w:rPr>
  </w:style>
  <w:style w:type="character" w:customStyle="1" w:styleId="25">
    <w:name w:val="font171"/>
    <w:basedOn w:val="9"/>
    <w:autoRedefine/>
    <w:qFormat/>
    <w:uiPriority w:val="0"/>
    <w:rPr>
      <w:rFonts w:hint="eastAsia" w:ascii="宋体" w:hAnsi="宋体" w:eastAsia="宋体" w:cs="宋体"/>
      <w:color w:val="000000"/>
      <w:sz w:val="16"/>
      <w:szCs w:val="16"/>
      <w:u w:val="none"/>
    </w:rPr>
  </w:style>
  <w:style w:type="character" w:customStyle="1" w:styleId="26">
    <w:name w:val="页眉 字符"/>
    <w:basedOn w:val="9"/>
    <w:link w:val="6"/>
    <w:qFormat/>
    <w:uiPriority w:val="0"/>
    <w:rPr>
      <w:rFonts w:asciiTheme="minorHAnsi" w:hAnsiTheme="minorHAnsi" w:eastAsiaTheme="minorEastAsia" w:cstheme="minorBidi"/>
      <w:kern w:val="2"/>
      <w:sz w:val="18"/>
      <w:szCs w:val="24"/>
    </w:rPr>
  </w:style>
  <w:style w:type="character" w:customStyle="1" w:styleId="27">
    <w:name w:val="font111"/>
    <w:basedOn w:val="9"/>
    <w:autoRedefine/>
    <w:qFormat/>
    <w:uiPriority w:val="0"/>
    <w:rPr>
      <w:rFonts w:hint="default" w:ascii="Times New Roman" w:hAnsi="Times New Roman" w:cs="Times New Roman"/>
      <w:color w:val="000000"/>
      <w:sz w:val="24"/>
      <w:szCs w:val="24"/>
      <w:u w:val="none"/>
    </w:rPr>
  </w:style>
  <w:style w:type="character" w:customStyle="1" w:styleId="28">
    <w:name w:val="font122"/>
    <w:basedOn w:val="9"/>
    <w:autoRedefine/>
    <w:qFormat/>
    <w:uiPriority w:val="0"/>
    <w:rPr>
      <w:rFonts w:ascii="方正小标宋_GBK" w:hAnsi="方正小标宋_GBK" w:eastAsia="方正小标宋_GBK" w:cs="方正小标宋_GBK"/>
      <w:color w:val="000000"/>
      <w:sz w:val="32"/>
      <w:szCs w:val="32"/>
      <w:u w:val="none"/>
    </w:rPr>
  </w:style>
  <w:style w:type="character" w:customStyle="1" w:styleId="29">
    <w:name w:val="font101"/>
    <w:basedOn w:val="9"/>
    <w:autoRedefine/>
    <w:qFormat/>
    <w:uiPriority w:val="0"/>
    <w:rPr>
      <w:rFonts w:hint="eastAsia" w:ascii="宋体" w:hAnsi="宋体" w:eastAsia="宋体" w:cs="宋体"/>
      <w:color w:val="000000"/>
      <w:sz w:val="22"/>
      <w:szCs w:val="22"/>
      <w:u w:val="none"/>
    </w:rPr>
  </w:style>
  <w:style w:type="character" w:customStyle="1" w:styleId="30">
    <w:name w:val="font131"/>
    <w:basedOn w:val="9"/>
    <w:autoRedefine/>
    <w:qFormat/>
    <w:uiPriority w:val="0"/>
    <w:rPr>
      <w:rFonts w:hint="default" w:ascii="Times New Roman" w:hAnsi="Times New Roman" w:cs="Times New Roman"/>
      <w:color w:val="000000"/>
      <w:sz w:val="22"/>
      <w:szCs w:val="22"/>
      <w:u w:val="single"/>
    </w:rPr>
  </w:style>
  <w:style w:type="character" w:customStyle="1" w:styleId="31">
    <w:name w:val="font161"/>
    <w:basedOn w:val="9"/>
    <w:autoRedefine/>
    <w:qFormat/>
    <w:uiPriority w:val="0"/>
    <w:rPr>
      <w:rFonts w:hint="eastAsia" w:ascii="宋体" w:hAnsi="宋体" w:eastAsia="宋体" w:cs="宋体"/>
      <w:b/>
      <w:bCs/>
      <w:color w:val="000000"/>
      <w:sz w:val="20"/>
      <w:szCs w:val="20"/>
      <w:u w:val="none"/>
    </w:rPr>
  </w:style>
  <w:style w:type="character" w:customStyle="1" w:styleId="32">
    <w:name w:val="font51"/>
    <w:basedOn w:val="9"/>
    <w:autoRedefine/>
    <w:qFormat/>
    <w:uiPriority w:val="0"/>
    <w:rPr>
      <w:rFonts w:hint="default" w:ascii="Times New Roman" w:hAnsi="Times New Roman" w:cs="Times New Roman"/>
      <w:b/>
      <w:bCs/>
      <w:color w:val="000000"/>
      <w:sz w:val="20"/>
      <w:szCs w:val="20"/>
      <w:u w:val="none"/>
    </w:rPr>
  </w:style>
  <w:style w:type="character" w:customStyle="1" w:styleId="33">
    <w:name w:val="font181"/>
    <w:basedOn w:val="9"/>
    <w:autoRedefine/>
    <w:qFormat/>
    <w:uiPriority w:val="0"/>
    <w:rPr>
      <w:rFonts w:hint="eastAsia" w:ascii="宋体" w:hAnsi="宋体" w:eastAsia="宋体" w:cs="宋体"/>
      <w:color w:val="000000"/>
      <w:sz w:val="22"/>
      <w:szCs w:val="22"/>
      <w:u w:val="none"/>
    </w:rPr>
  </w:style>
  <w:style w:type="character" w:customStyle="1" w:styleId="34">
    <w:name w:val="font91"/>
    <w:basedOn w:val="9"/>
    <w:autoRedefine/>
    <w:qFormat/>
    <w:uiPriority w:val="0"/>
    <w:rPr>
      <w:rFonts w:hint="eastAsia" w:ascii="宋体" w:hAnsi="宋体" w:eastAsia="宋体" w:cs="宋体"/>
      <w:color w:val="000000"/>
      <w:sz w:val="24"/>
      <w:szCs w:val="24"/>
      <w:u w:val="none"/>
    </w:rPr>
  </w:style>
  <w:style w:type="character" w:customStyle="1" w:styleId="35">
    <w:name w:val="font81"/>
    <w:basedOn w:val="9"/>
    <w:autoRedefine/>
    <w:qFormat/>
    <w:uiPriority w:val="0"/>
    <w:rPr>
      <w:rFonts w:hint="eastAsia" w:ascii="宋体" w:hAnsi="宋体" w:eastAsia="宋体" w:cs="宋体"/>
      <w:b/>
      <w:bCs/>
      <w:color w:val="000000"/>
      <w:sz w:val="24"/>
      <w:szCs w:val="24"/>
      <w:u w:val="none"/>
    </w:rPr>
  </w:style>
  <w:style w:type="character" w:customStyle="1" w:styleId="36">
    <w:name w:val="页脚 字符"/>
    <w:basedOn w:val="9"/>
    <w:link w:val="5"/>
    <w:autoRedefine/>
    <w:qFormat/>
    <w:uiPriority w:val="0"/>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customXml" Target="../customXml/item1.xml"/><Relationship Id="rId24" Type="http://schemas.openxmlformats.org/officeDocument/2006/relationships/image" Target="media/image10.png"/><Relationship Id="rId23" Type="http://schemas.openxmlformats.org/officeDocument/2006/relationships/image" Target="media/image9.png"/><Relationship Id="rId22" Type="http://schemas.openxmlformats.org/officeDocument/2006/relationships/image" Target="media/image8.png"/><Relationship Id="rId21" Type="http://schemas.openxmlformats.org/officeDocument/2006/relationships/image" Target="media/image7.pn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FC7345-20FB-49EE-BF1E-1DCB327443D9}">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39</Pages>
  <Words>1665</Words>
  <Characters>9494</Characters>
  <Lines>79</Lines>
  <Paragraphs>22</Paragraphs>
  <TotalTime>1</TotalTime>
  <ScaleCrop>false</ScaleCrop>
  <LinksUpToDate>false</LinksUpToDate>
  <CharactersWithSpaces>11137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2023-12-22T10:11:00Z</dcterms:created>
  <dc:creator>t</dc:creator>
  <cp:lastModifiedBy>Administrator</cp:lastModifiedBy>
  <cp:lastPrinted>2022-05-12T00:46:00Z</cp:lastPrinted>
  <dcterms:modified xsi:type="dcterms:W3CDTF">2024-07-26T01:43:02Z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48C61CB29D3F4D9384F5922CF0F7FFB4</vt:lpwstr>
  </property>
</Properties>
</file>