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重庆市财政局关于</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废止部分财政规范性文件的通知</w:t>
      </w:r>
    </w:p>
    <w:p>
      <w:pPr>
        <w:spacing w:line="60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渝财法〔2015〕18号</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各区县（自治县）财政局，有关单位：</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根据《重庆市行政立法基本规范（试行）》（市政府令第217号）等规定，我局对现行财政规范性文件进行了认真清理，决定将部分财政规范性文件予以废止，自本通知印发之日起不再施行。</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附件：重庆市财政局废止的规范性文件目录（第七批）</w:t>
      </w:r>
    </w:p>
    <w:p>
      <w:pPr>
        <w:spacing w:line="600" w:lineRule="exact"/>
        <w:ind w:firstLine="640" w:firstLineChars="200"/>
        <w:rPr>
          <w:rFonts w:hint="eastAsia" w:ascii="Times New Roman" w:hAnsi="Times New Roman" w:eastAsia="方正仿宋_GBK"/>
          <w:sz w:val="32"/>
        </w:rPr>
      </w:pP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spacing w:line="600" w:lineRule="exact"/>
        <w:ind w:firstLine="5280" w:firstLineChars="1650"/>
        <w:rPr>
          <w:rFonts w:hint="eastAsia" w:ascii="Times New Roman" w:hAnsi="Times New Roman" w:eastAsia="方正仿宋_GBK"/>
          <w:sz w:val="32"/>
          <w:szCs w:val="32"/>
        </w:rPr>
      </w:pPr>
      <w:r>
        <w:rPr>
          <w:rFonts w:hint="eastAsia" w:ascii="Times New Roman" w:hAnsi="Times New Roman" w:eastAsia="方正仿宋_GBK"/>
          <w:sz w:val="32"/>
          <w:szCs w:val="32"/>
        </w:rPr>
        <w:t>重庆市财政局</w:t>
      </w:r>
    </w:p>
    <w:p>
      <w:pPr>
        <w:spacing w:line="600" w:lineRule="exact"/>
        <w:ind w:firstLine="5120" w:firstLineChars="1600"/>
        <w:rPr>
          <w:rFonts w:hint="eastAsia" w:ascii="Times New Roman" w:hAnsi="Times New Roman" w:eastAsia="方正仿宋_GBK"/>
          <w:sz w:val="32"/>
          <w:szCs w:val="32"/>
        </w:rPr>
      </w:pPr>
      <w:r>
        <w:rPr>
          <w:rFonts w:hint="eastAsia" w:ascii="Times New Roman" w:hAnsi="Times New Roman" w:eastAsia="方正仿宋_GBK"/>
          <w:sz w:val="32"/>
          <w:szCs w:val="32"/>
        </w:rPr>
        <w:t>2015年5月27日</w:t>
      </w:r>
    </w:p>
    <w:p>
      <w:pPr>
        <w:spacing w:line="600" w:lineRule="exact"/>
        <w:rPr>
          <w:rFonts w:hint="eastAsia" w:ascii="Times New Roman" w:hAnsi="Times New Roman" w:eastAsia="方正仿宋_GBK"/>
          <w:szCs w:val="32"/>
        </w:rPr>
      </w:pPr>
    </w:p>
    <w:tbl>
      <w:tblPr>
        <w:tblStyle w:val="7"/>
        <w:tblW w:w="8953" w:type="dxa"/>
        <w:tblInd w:w="108" w:type="dxa"/>
        <w:tblLayout w:type="autofit"/>
        <w:tblCellMar>
          <w:top w:w="0" w:type="dxa"/>
          <w:left w:w="108" w:type="dxa"/>
          <w:bottom w:w="0" w:type="dxa"/>
          <w:right w:w="108" w:type="dxa"/>
        </w:tblCellMar>
      </w:tblPr>
      <w:tblGrid>
        <w:gridCol w:w="1451"/>
        <w:gridCol w:w="6412"/>
        <w:gridCol w:w="140"/>
        <w:gridCol w:w="950"/>
      </w:tblGrid>
      <w:tr>
        <w:tblPrEx>
          <w:tblCellMar>
            <w:top w:w="0" w:type="dxa"/>
            <w:left w:w="108" w:type="dxa"/>
            <w:bottom w:w="0" w:type="dxa"/>
            <w:right w:w="108" w:type="dxa"/>
          </w:tblCellMar>
        </w:tblPrEx>
        <w:trPr>
          <w:trHeight w:val="555" w:hRule="atLeast"/>
        </w:trPr>
        <w:tc>
          <w:tcPr>
            <w:tcW w:w="7998" w:type="dxa"/>
            <w:gridSpan w:val="3"/>
            <w:tcBorders>
              <w:top w:val="nil"/>
              <w:left w:val="nil"/>
              <w:bottom w:val="nil"/>
              <w:right w:val="nil"/>
            </w:tcBorders>
            <w:shd w:val="clear" w:color="auto" w:fill="auto"/>
            <w:noWrap/>
            <w:vAlign w:val="center"/>
          </w:tcPr>
          <w:p>
            <w:pPr>
              <w:widowControl/>
              <w:jc w:val="left"/>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附件</w:t>
            </w:r>
          </w:p>
        </w:tc>
        <w:tc>
          <w:tcPr>
            <w:tcW w:w="955" w:type="dxa"/>
            <w:tcBorders>
              <w:top w:val="nil"/>
              <w:left w:val="nil"/>
              <w:bottom w:val="nil"/>
              <w:right w:val="nil"/>
            </w:tcBorders>
            <w:shd w:val="clear" w:color="auto" w:fill="auto"/>
            <w:noWrap/>
            <w:vAlign w:val="center"/>
          </w:tcPr>
          <w:p>
            <w:pPr>
              <w:widowControl/>
              <w:jc w:val="left"/>
              <w:rPr>
                <w:rFonts w:ascii="Times New Roman" w:hAnsi="Times New Roman" w:cs="宋体"/>
                <w:kern w:val="0"/>
                <w:sz w:val="24"/>
              </w:rPr>
            </w:pPr>
          </w:p>
        </w:tc>
      </w:tr>
      <w:tr>
        <w:tblPrEx>
          <w:tblCellMar>
            <w:top w:w="0" w:type="dxa"/>
            <w:left w:w="108" w:type="dxa"/>
            <w:bottom w:w="0" w:type="dxa"/>
            <w:right w:w="108" w:type="dxa"/>
          </w:tblCellMar>
        </w:tblPrEx>
        <w:trPr>
          <w:trHeight w:val="675" w:hRule="atLeast"/>
        </w:trPr>
        <w:tc>
          <w:tcPr>
            <w:tcW w:w="8953" w:type="dxa"/>
            <w:gridSpan w:val="4"/>
            <w:tcBorders>
              <w:top w:val="nil"/>
              <w:left w:val="nil"/>
              <w:bottom w:val="nil"/>
              <w:right w:val="nil"/>
            </w:tcBorders>
            <w:shd w:val="clear" w:color="auto" w:fill="auto"/>
            <w:noWrap/>
            <w:vAlign w:val="center"/>
          </w:tcPr>
          <w:p>
            <w:pPr>
              <w:widowControl/>
              <w:spacing w:line="540" w:lineRule="exact"/>
              <w:jc w:val="center"/>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重庆市财政局废止的规范性文件目录（第七批）</w:t>
            </w:r>
          </w:p>
        </w:tc>
      </w:tr>
      <w:tr>
        <w:tblPrEx>
          <w:tblCellMar>
            <w:top w:w="0" w:type="dxa"/>
            <w:left w:w="108" w:type="dxa"/>
            <w:bottom w:w="0" w:type="dxa"/>
            <w:right w:w="108" w:type="dxa"/>
          </w:tblCellMar>
        </w:tblPrEx>
        <w:trPr>
          <w:trHeight w:val="812" w:hRule="atLeast"/>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宋体"/>
                <w:kern w:val="0"/>
                <w:sz w:val="22"/>
                <w:szCs w:val="22"/>
              </w:rPr>
            </w:pPr>
            <w:r>
              <w:rPr>
                <w:rFonts w:hint="eastAsia" w:ascii="Times New Roman" w:hAnsi="Times New Roman" w:eastAsia="方正黑体_GBK" w:cs="宋体"/>
                <w:kern w:val="0"/>
                <w:sz w:val="22"/>
                <w:szCs w:val="22"/>
              </w:rPr>
              <w:t>序号</w:t>
            </w:r>
          </w:p>
        </w:tc>
        <w:tc>
          <w:tcPr>
            <w:tcW w:w="6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宋体"/>
                <w:kern w:val="0"/>
                <w:sz w:val="22"/>
                <w:szCs w:val="22"/>
              </w:rPr>
            </w:pPr>
            <w:r>
              <w:rPr>
                <w:rFonts w:hint="eastAsia" w:ascii="Times New Roman" w:hAnsi="Times New Roman" w:eastAsia="方正黑体_GBK" w:cs="宋体"/>
                <w:kern w:val="0"/>
                <w:sz w:val="22"/>
                <w:szCs w:val="22"/>
              </w:rPr>
              <w:t xml:space="preserve">文 件 名 </w:t>
            </w:r>
          </w:p>
        </w:tc>
        <w:tc>
          <w:tcPr>
            <w:tcW w:w="11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宋体"/>
                <w:kern w:val="0"/>
                <w:sz w:val="22"/>
                <w:szCs w:val="22"/>
              </w:rPr>
            </w:pPr>
            <w:r>
              <w:rPr>
                <w:rFonts w:hint="eastAsia" w:ascii="Times New Roman" w:hAnsi="Times New Roman" w:eastAsia="方正黑体_GBK" w:cs="宋体"/>
                <w:kern w:val="0"/>
                <w:sz w:val="22"/>
                <w:szCs w:val="22"/>
              </w:rPr>
              <w:t>发文文号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重庆市监察局关于印发《政府采购评审专家管理实施办法》的通知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渝财采购〔2004〕20号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重庆市财政局关于印发《重庆市政府采购代理机构资格认定操作规程（暂行）》的通知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渝财采购〔2006〕20号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重庆市财政局关于重庆市乙级政府采购代理机构资格认定和延续的通知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渝财采购〔2011〕29号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关于市级政府采购代理业务实行统一监管的通知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渝财采购〔2011〕32号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重庆市经济和信息化委员会关于《“跨越数字鸿沟:‘重庆造’电脑全国行动”财政专项资金补贴办法》的通知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w:t>
            </w:r>
            <w:bookmarkStart w:id="0" w:name="_GoBack"/>
            <w:bookmarkEnd w:id="0"/>
            <w:r>
              <w:rPr>
                <w:rFonts w:hint="eastAsia" w:ascii="Times New Roman" w:hAnsi="Times New Roman" w:eastAsia="仿宋_GB2312" w:cs="宋体"/>
                <w:kern w:val="0"/>
                <w:sz w:val="22"/>
                <w:szCs w:val="22"/>
              </w:rPr>
              <w:t>11〕31号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重庆市财政局关于对市级部门工作人员因公出差意外伤害保险实行定点采购的通知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渝财采购〔2012〕1号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7</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重庆市财政局关于政府采购甲级代理机构备案的暂行规定</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渝财采购〔2012〕24号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关于落实品牌电脑采购比例的通知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渝财采购〔2012〕28号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重庆市财政局关于重庆市2012年乙级政府采购代理机构资格认定和延续的通知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渝财采购〔2012〕30号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关于扩大甲级政府采购代理机构代理范围的通知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渝财采购〔2012〕33号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重庆市财政局关于印发《重庆市2013—2014年政府采购目录及标准》的通知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渝财采购〔2013〕6号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重庆市财政局关于印发《重庆市单一来源采购申报及审批管理暂行规定》的通知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渝财采购〔2013〕21号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重庆市财政局关于重庆市2014年乙级政府采购代理机构资格认定的通知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渝财采购〔2014〕6号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重庆市财政局关于进一步规范国家赔偿费用申请的通知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渝财法〔2008〕18号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关于印发《注册会计师法》和《会计师事务所审批和监督办法》行政处罚执行标准的通知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渝财法〔2010〕21号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重庆市财政局关于印发重庆市村级公益事业建设一事一议财政奖补资金管理暂行办法的通知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渝财基 〔2009〕8号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17</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关于印发《重庆市村级社会公共服务中心专项建设资金管理办法》的通知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渝财农〔2006〕151号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关于同意重庆市民政局收取证件工本费、殡葬事业发展费的通知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渝财预外字〔1997〕46号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19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重庆市财政局、重庆市土地房屋管理局关于印发《重庆市探矿权采矿权使用费和价款征收使用管理办法》的通知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渝财预外〔2000〕43号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关于排污费征收有关事宜的补充的通知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渝财库〔2003〕66号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重庆市物价局关于对部分群体实行工商收费优惠政策的通知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渝财综〔2009〕77号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重庆市财政局关于印发《重庆市农业保险保费补贴管理暂行办法》的通知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渝财农〔2007〕474号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重庆市财政局关于印发《重庆市能繁母猪保险保费补贴管理暂行办法》的通知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渝财农〔2007〕476号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重庆市财政局关于整顿和规范会计从业资格培训市场秩序、提高培训考试质量的通知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渝财会〔2002〕26号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重庆市财政局关于加强重庆市会计人员从业资格证书（IC卡）费、会计从业资格考试费、会计专业技术资格考试费管理的通知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渝财会〔2003〕56号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重庆市财政局关于印发《重庆市会计从业资格管理实施细则》的通知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渝财会〔2007〕25号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27</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重庆市财政局关于印发《重庆市会计人员继续教育实施细则》的通知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渝财会〔2007〕49号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重庆市总工会关于对低收入省部级劳模实行生活补助的通知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渝财行〔2004〕1号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29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重庆市财政局、司法局关于印发《重庆市法律援助办案补助专款管理暂行办法》的通知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渝财行〔2005〕113号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重庆市财政局关于印发《重庆市政府非税收入电子缴款专用收据使用管理暂行办法》的通知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渝财综〔2012〕109号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重庆市地方税务局关于贯彻《重庆市人民政府关于调整城镇土地使用税等级税额标准的通知》的通知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渝财税〔2007〕36号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重庆市财政局关于支持重庆市大学城建设有关政策执行的通知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渝财预〔2004〕102号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重庆市地方税务局关于继续减半征收重庆公共交通企业车船税的通知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渝财税〔2011〕1号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关于给予律师事务所财政扶持政策的通知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渝财税〔2012〕34号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重庆市财政局关于教育非税收入收缴相关事宜的通知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渝财库〔2010〕34号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重庆市财政局、重庆市劳动和社会保障局关于印发《重庆市促进下岗失业人员再就业培训经费补助暂行办法》的通知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渝财社〔2004〕79号</w:t>
            </w:r>
          </w:p>
        </w:tc>
      </w:tr>
      <w:tr>
        <w:tblPrEx>
          <w:tblCellMar>
            <w:top w:w="0" w:type="dxa"/>
            <w:left w:w="108" w:type="dxa"/>
            <w:bottom w:w="0" w:type="dxa"/>
            <w:right w:w="108" w:type="dxa"/>
          </w:tblCellMar>
        </w:tblPrEx>
        <w:trPr>
          <w:trHeight w:val="1482"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37</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重庆市劳动和社会保障局  重庆市再就业工程领导小组办公室关于印发《重庆市城镇下岗失业人员和城镇其他登记失业人员初次职业技能鉴定补贴（补助）办法》的通知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渝财社〔2006〕46号</w:t>
            </w:r>
          </w:p>
        </w:tc>
      </w:tr>
      <w:tr>
        <w:tblPrEx>
          <w:tblCellMar>
            <w:top w:w="0" w:type="dxa"/>
            <w:left w:w="108" w:type="dxa"/>
            <w:bottom w:w="0" w:type="dxa"/>
            <w:right w:w="108" w:type="dxa"/>
          </w:tblCellMar>
        </w:tblPrEx>
        <w:trPr>
          <w:trHeight w:val="1482"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重庆市劳动和社会保障局  重庆市再就业工程领导小组办公室  重庆市农村劳务开发领导小组办公室关于印发《重庆市进城务工农村劳动者初次职业技能鉴定补助办法》的通知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渝财社〔2006〕50号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39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重庆市财政局关于印发《重庆市农民工专项职业能力考核鉴定补贴办法》的通知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渝财社〔2008〕184号</w:t>
            </w:r>
          </w:p>
        </w:tc>
      </w:tr>
      <w:tr>
        <w:tblPrEx>
          <w:tblCellMar>
            <w:top w:w="0" w:type="dxa"/>
            <w:left w:w="108" w:type="dxa"/>
            <w:bottom w:w="0" w:type="dxa"/>
            <w:right w:w="108" w:type="dxa"/>
          </w:tblCellMar>
        </w:tblPrEx>
        <w:trPr>
          <w:trHeight w:val="1542"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重庆市就业再就业工作领导小组办公室 重庆市劳动和社会保障局 中国人民银行重庆营业管理部 中国银行业监督管理委员会重庆监管局关于小额担保贷款有关问题的通知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渝财社〔2009〕34号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重庆市劳动和社会保障局  重庆市卫生局关于加强城乡居民合作医疗保险基金和财政补助资金管理有关问题的通知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渝财社〔2009〕64号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重庆市人力资源和社会保障局 重庆市就业再就业工作领导小组办公室关于就业创业培训补贴有关问题的补充通知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渝财社〔2009〕92号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关于印发《重庆市流浪乞讨人员救助补助资金管理办法》的通知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渝财社〔2011〕276号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重庆市财政局、重庆市供销合作总社关于印发《重庆市“两社两化”财政专项补助资金使用管理办法》的通知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渝财农〔2005〕39号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关于印发《重庆市农业产业化专项补助资金管理暂行办法》的通知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渝财农〔2012〕245号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重庆市林业局关于重新印发《重庆市森林工程市级贷款资金管理办法》的通知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渝财农〔2009〕343号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47</w:t>
            </w:r>
          </w:p>
        </w:tc>
        <w:tc>
          <w:tcPr>
            <w:tcW w:w="6338" w:type="dxa"/>
            <w:tcBorders>
              <w:top w:val="nil"/>
              <w:left w:val="nil"/>
              <w:bottom w:val="nil"/>
              <w:right w:val="nil"/>
            </w:tcBorders>
            <w:shd w:val="clear" w:color="auto" w:fill="auto"/>
            <w:noWrap/>
            <w:vAlign w:val="center"/>
          </w:tcPr>
          <w:tbl>
            <w:tblPr>
              <w:tblStyle w:val="7"/>
              <w:tblW w:w="6237" w:type="dxa"/>
              <w:tblCellSpacing w:w="0" w:type="dxa"/>
              <w:tblInd w:w="0" w:type="dxa"/>
              <w:tblLayout w:type="autofit"/>
              <w:tblCellMar>
                <w:top w:w="0" w:type="dxa"/>
                <w:left w:w="0" w:type="dxa"/>
                <w:bottom w:w="0" w:type="dxa"/>
                <w:right w:w="0" w:type="dxa"/>
              </w:tblCellMar>
            </w:tblPr>
            <w:tblGrid>
              <w:gridCol w:w="6237"/>
            </w:tblGrid>
            <w:tr>
              <w:tblPrEx>
                <w:tblCellMar>
                  <w:top w:w="0" w:type="dxa"/>
                  <w:left w:w="0" w:type="dxa"/>
                  <w:bottom w:w="0" w:type="dxa"/>
                  <w:right w:w="0" w:type="dxa"/>
                </w:tblCellMar>
              </w:tblPrEx>
              <w:trPr>
                <w:trHeight w:val="780" w:hRule="atLeast"/>
                <w:tblCellSpacing w:w="0" w:type="dxa"/>
              </w:trPr>
              <w:tc>
                <w:tcPr>
                  <w:tcW w:w="623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重庆市财政局关于印发《重庆市开展清洁发展委托贷款管理实施细则》的通知</w:t>
                  </w:r>
                </w:p>
              </w:tc>
            </w:tr>
          </w:tbl>
          <w:p>
            <w:pPr>
              <w:widowControl/>
              <w:jc w:val="left"/>
              <w:rPr>
                <w:rFonts w:ascii="Times New Roman" w:hAnsi="Times New Roman" w:cs="宋体"/>
                <w:kern w:val="0"/>
                <w:sz w:val="24"/>
              </w:rPr>
            </w:pP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渝财外〔2012〕45号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重庆市财政局关于印发《重庆市政府性债务偿债奖补资金管理（暂行）办法》的通知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渝财预〔2008〕403号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49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关于贯彻执行《重庆市城市污水处理费征收管理办法》有关问题的通知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渝财预外字〔1999〕67号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重庆市国土和房屋管理局关于主城区居住区综合整治工程资金管理有关事宜的通知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渝财建〔2009〕278号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重庆市国土房管局关于主城区居住区综合整治市级补助资金管理有关问题的通知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渝财建〔2010〕236号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重庆市交通委员会关于印发《重庆市车辆购置税用一般公路建设项目专项资金管理办法》的通知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渝财建〔2010〕356号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重庆市财政局关于对主城区生活垃圾运输费用实行财政扣收的通知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渝财建〔2010〕97号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重庆市财政局市环境保护局关于印发《重庆市农村环境连片整治专项资金管理暂行办法》的通知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渝财建〔2011〕310号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重庆市对外贸易经济委员会关于印发《重庆市外经贸发展专项资金管理暂行办法》的通知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渝财企〔2008〕465号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关于印发《重庆市外贸稳定增长专项资金管理暂行办法》的通知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渝财企〔2009〕623号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57</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重庆市发展和改革委员会关于印发《重庆市物流业发展专项资金管理暂行办法》的通知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渝财企〔2011〕376号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58</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重庆市财政局关于调整和完善微型企业资本金补助市与区县分担比例等有关政策的通知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渝财企〔2013〕240号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59</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重庆市中小企业发展指导局关于《重庆市中小企业发展专项资金管理办法》的通知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渝财企〔2004〕24号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60</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关于印发《重庆市新农村现代流通服务网络工程地方专项资金管理办法》的通知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渝财企〔2011〕263号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61</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关于印发《重庆市电力电煤补贴专项资金管理暂行办法》的通知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渝财企〔2011〕316号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62</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重庆市财政局关于转发《财政部关于印发〈中小学布局调整专项资金管理办法〉的通知》的通知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渝财教〔2003〕61号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63</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重庆市教育委员会关于进一步做好今年秋季中央免费提供教科书工作的紧急通知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渝财教〔2004〕126号</w:t>
            </w:r>
          </w:p>
        </w:tc>
      </w:tr>
      <w:tr>
        <w:tblPrEx>
          <w:tblCellMar>
            <w:top w:w="0" w:type="dxa"/>
            <w:left w:w="108" w:type="dxa"/>
            <w:bottom w:w="0" w:type="dxa"/>
            <w:right w:w="108" w:type="dxa"/>
          </w:tblCellMar>
        </w:tblPrEx>
        <w:trPr>
          <w:trHeight w:val="114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64</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重庆市财政局 重庆市教育委员会关于印发《重庆市农村义务教育阶段贫困家庭学生 “两免一补”实施办法（试行）》的通知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渝财教〔2005〕36号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65</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 xml:space="preserve">重庆市财政局、重庆市教育委员会关于印发《重庆市市属高等学校“三重”经费管理暂行办法》的通知 </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渝财教〔2008〕177号</w:t>
            </w:r>
          </w:p>
        </w:tc>
      </w:tr>
      <w:tr>
        <w:tblPrEx>
          <w:tblCellMar>
            <w:top w:w="0" w:type="dxa"/>
            <w:left w:w="108" w:type="dxa"/>
            <w:bottom w:w="0" w:type="dxa"/>
            <w:right w:w="108" w:type="dxa"/>
          </w:tblCellMar>
        </w:tblPrEx>
        <w:trPr>
          <w:trHeight w:val="780" w:hRule="atLeast"/>
        </w:trPr>
        <w:tc>
          <w:tcPr>
            <w:tcW w:w="14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66</w:t>
            </w:r>
          </w:p>
        </w:tc>
        <w:tc>
          <w:tcPr>
            <w:tcW w:w="63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关于印发《重庆市农家书屋工程建设专项资金管理暂行办法》的通知</w:t>
            </w:r>
          </w:p>
        </w:tc>
        <w:tc>
          <w:tcPr>
            <w:tcW w:w="11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2"/>
                <w:szCs w:val="22"/>
              </w:rPr>
            </w:pPr>
            <w:r>
              <w:rPr>
                <w:rFonts w:hint="eastAsia" w:ascii="Times New Roman" w:hAnsi="Times New Roman" w:eastAsia="仿宋_GB2312" w:cs="宋体"/>
                <w:kern w:val="0"/>
                <w:sz w:val="22"/>
                <w:szCs w:val="22"/>
              </w:rPr>
              <w:t>渝财教〔2009〕65号</w:t>
            </w:r>
          </w:p>
        </w:tc>
      </w:tr>
    </w:tbl>
    <w:p>
      <w:pPr>
        <w:spacing w:line="600" w:lineRule="exact"/>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50593B"/>
    <w:rsid w:val="00687E85"/>
    <w:rsid w:val="008449CD"/>
    <w:rsid w:val="009B75DA"/>
    <w:rsid w:val="00BB3D15"/>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1A383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3315</Words>
  <Characters>3676</Characters>
  <Lines>28</Lines>
  <Paragraphs>8</Paragraphs>
  <TotalTime>2</TotalTime>
  <ScaleCrop>false</ScaleCrop>
  <LinksUpToDate>false</LinksUpToDate>
  <CharactersWithSpaces>3723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2022-06-20T06:10:33Z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