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spacing w:line="560" w:lineRule="exact"/>
        <w:rPr>
          <w:rFonts w:ascii="方正小标宋简体" w:eastAsia="方正小标宋简体"/>
          <w:sz w:val="44"/>
          <w:szCs w:val="44"/>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关于个人投资和转增股本个人所得税实行分期缴纳有关征管问题的通知</w:t>
      </w:r>
    </w:p>
    <w:p>
      <w:pPr>
        <w:rPr>
          <w:rFonts w:ascii="方正仿宋_GBK" w:eastAsia="方正仿宋_GBK"/>
          <w:sz w:val="32"/>
          <w:szCs w:val="32"/>
        </w:rPr>
      </w:pPr>
      <w:r>
        <w:rPr>
          <w:rFonts w:hint="eastAsia" w:ascii="方正仿宋_GBK" w:eastAsia="方正仿宋_GBK"/>
          <w:sz w:val="32"/>
          <w:szCs w:val="32"/>
        </w:rPr>
        <w:t xml:space="preserve">                  渝财税 〔2013〕176号</w:t>
      </w:r>
    </w:p>
    <w:p>
      <w:pPr>
        <w:rPr>
          <w:rFonts w:ascii="方正仿宋_GBK" w:eastAsia="方正仿宋_GBK"/>
          <w:sz w:val="32"/>
          <w:szCs w:val="32"/>
        </w:rPr>
      </w:pPr>
      <w:bookmarkStart w:id="0" w:name="_GoBack"/>
      <w:bookmarkEnd w:id="0"/>
    </w:p>
    <w:p>
      <w:pPr>
        <w:rPr>
          <w:rFonts w:ascii="方正仿宋_GBK" w:eastAsia="方正仿宋_GBK"/>
          <w:sz w:val="32"/>
          <w:szCs w:val="32"/>
        </w:rPr>
      </w:pPr>
      <w:r>
        <w:rPr>
          <w:rFonts w:hint="eastAsia" w:ascii="方正仿宋_GBK" w:eastAsia="方正仿宋_GBK"/>
          <w:sz w:val="32"/>
          <w:szCs w:val="32"/>
        </w:rPr>
        <w:t>各区县(自治县)财政局、金融办(金融工作牵头部门)、地方税务局:</w:t>
      </w:r>
    </w:p>
    <w:p>
      <w:pPr>
        <w:rPr>
          <w:rFonts w:ascii="方正仿宋_GBK" w:eastAsia="方正仿宋_GBK"/>
          <w:sz w:val="32"/>
          <w:szCs w:val="32"/>
        </w:rPr>
      </w:pPr>
      <w:r>
        <w:rPr>
          <w:rFonts w:hint="eastAsia" w:ascii="方正仿宋_GBK" w:eastAsia="方正仿宋_GBK"/>
          <w:sz w:val="32"/>
          <w:szCs w:val="32"/>
        </w:rPr>
        <w:t xml:space="preserve">    为积极推动我市企业改制上市和技术成果转化,经市政府同意,对部分企业股份制改造中自然人股东应缴纳的个人所得税,纳税确有困难的,可实行分期缴纳,现将具体征管事宜明确如下:</w:t>
      </w:r>
    </w:p>
    <w:p>
      <w:pPr>
        <w:rPr>
          <w:rFonts w:ascii="方正仿宋_GBK" w:eastAsia="方正仿宋_GBK"/>
          <w:sz w:val="32"/>
          <w:szCs w:val="32"/>
        </w:rPr>
      </w:pPr>
      <w:r>
        <w:rPr>
          <w:rFonts w:hint="eastAsia" w:ascii="方正仿宋_GBK" w:eastAsia="方正仿宋_GBK"/>
          <w:sz w:val="32"/>
          <w:szCs w:val="32"/>
        </w:rPr>
        <w:t xml:space="preserve">    一、个人存在以下情况,由于未产生现金流,按规定一次性申报缴纳个人所得税确有困难的,经纳税人申请,相关企业做担保承诺,报区县主管税务局审核同意,可在不超过5年的期限内,分期纳税。</w:t>
      </w:r>
    </w:p>
    <w:p>
      <w:pPr>
        <w:rPr>
          <w:rFonts w:ascii="方正仿宋_GBK" w:eastAsia="方正仿宋_GBK"/>
          <w:sz w:val="32"/>
          <w:szCs w:val="32"/>
        </w:rPr>
      </w:pPr>
      <w:r>
        <w:rPr>
          <w:rFonts w:hint="eastAsia" w:ascii="方正仿宋_GBK" w:eastAsia="方正仿宋_GBK"/>
          <w:sz w:val="32"/>
          <w:szCs w:val="32"/>
        </w:rPr>
        <w:t xml:space="preserve">     (一)对进入我市重点拟上市企业储备库的企业进行股份制改造,用未分配利润、盈余公积、资本公积(不含股份制企业股票溢价发行收入所形成的资本公积金)转增股本,自然人股东获得转增股本数额,按照利`息股丿崽红利所得应缴纳的个人所得税。</w:t>
      </w:r>
    </w:p>
    <w:p>
      <w:pPr>
        <w:rPr>
          <w:rFonts w:ascii="方正仿宋_GBK" w:eastAsia="方正仿宋_GBK"/>
          <w:sz w:val="32"/>
          <w:szCs w:val="32"/>
        </w:rPr>
      </w:pPr>
      <w:r>
        <w:rPr>
          <w:rFonts w:hint="eastAsia" w:ascii="方正仿宋_GBK" w:eastAsia="方正仿宋_GBK"/>
          <w:sz w:val="32"/>
          <w:szCs w:val="32"/>
        </w:rPr>
        <w:t xml:space="preserve">    (二)个人将科技成果以股份或出资比例等股权形式投资入股,按照特许权使用费所得应缴纳的个人所得税。</w:t>
      </w:r>
    </w:p>
    <w:p>
      <w:pPr>
        <w:rPr>
          <w:rFonts w:ascii="方正仿宋_GBK" w:eastAsia="方正仿宋_GBK"/>
          <w:sz w:val="32"/>
          <w:szCs w:val="32"/>
        </w:rPr>
      </w:pPr>
      <w:r>
        <w:rPr>
          <w:rFonts w:hint="eastAsia" w:ascii="方正仿宋_GBK" w:eastAsia="方正仿宋_GBK"/>
          <w:sz w:val="32"/>
          <w:szCs w:val="32"/>
        </w:rPr>
        <w:t xml:space="preserve">    (三)企业股份制改造中自然人股东退股,由另一企业向该自然人股东以股权对价支付应缴纳的个人所得税。</w:t>
      </w:r>
    </w:p>
    <w:p>
      <w:pPr>
        <w:rPr>
          <w:rFonts w:ascii="方正仿宋_GBK" w:eastAsia="方正仿宋_GBK"/>
          <w:sz w:val="32"/>
          <w:szCs w:val="32"/>
        </w:rPr>
      </w:pPr>
      <w:r>
        <w:rPr>
          <w:rFonts w:hint="eastAsia" w:ascii="方正仿宋_GBK" w:eastAsia="方正仿宋_GBK"/>
          <w:sz w:val="32"/>
          <w:szCs w:val="32"/>
        </w:rPr>
        <w:t xml:space="preserve">    二、个人按照本通知第一条规定申请分期纳税的,应填报《个人所得税分期缴纳税款申请表》(见附件),并经相关企业在申请表中“企业承诺部分”签字盖章确认和主管税务局审核同意。</w:t>
      </w:r>
    </w:p>
    <w:p>
      <w:pPr>
        <w:rPr>
          <w:rFonts w:ascii="方正仿宋_GBK" w:eastAsia="方正仿宋_GBK"/>
          <w:sz w:val="32"/>
          <w:szCs w:val="32"/>
        </w:rPr>
      </w:pPr>
      <w:r>
        <w:rPr>
          <w:rFonts w:hint="eastAsia" w:ascii="方正仿宋_GBK" w:eastAsia="方正仿宋_GBK"/>
          <w:sz w:val="32"/>
          <w:szCs w:val="32"/>
        </w:rPr>
        <w:t xml:space="preserve">    本通知所称相关企业,是指上述个人投资入股的被投资企业、进行股份制改造转增资本的企业和用股权对价作支付的企业。</w:t>
      </w:r>
    </w:p>
    <w:p>
      <w:pPr>
        <w:rPr>
          <w:rFonts w:ascii="方正仿宋_GBK" w:eastAsia="方正仿宋_GBK"/>
          <w:sz w:val="32"/>
          <w:szCs w:val="32"/>
        </w:rPr>
      </w:pPr>
      <w:r>
        <w:rPr>
          <w:rFonts w:hint="eastAsia" w:ascii="方正仿宋_GBK" w:eastAsia="方正仿宋_GBK"/>
          <w:sz w:val="32"/>
          <w:szCs w:val="32"/>
        </w:rPr>
        <w:t xml:space="preserve">    三、在纳税人未缴清税款期间,纳税人有投资收回、股权转让(或清算)和利息股息红利分配等收入的,应先用于缴纳欠缴税款。相关企业应事先将情况及时报告主管税务机关,并依法履行代扣代缴义务,同时暂停支付相当于申请人欠缴税款部分的收入。纳税人将股权转让给其他自然人及法人的,应依法主动向主管税务机关申报纳税。</w:t>
      </w:r>
    </w:p>
    <w:p>
      <w:pPr>
        <w:ind w:firstLine="704"/>
        <w:rPr>
          <w:rFonts w:ascii="方正仿宋_GBK" w:eastAsia="方正仿宋_GBK"/>
          <w:sz w:val="32"/>
          <w:szCs w:val="32"/>
        </w:rPr>
      </w:pPr>
      <w:r>
        <w:rPr>
          <w:rFonts w:hint="eastAsia" w:ascii="方正仿宋_GBK" w:eastAsia="方正仿宋_GBK"/>
          <w:sz w:val="32"/>
          <w:szCs w:val="32"/>
        </w:rPr>
        <w:t>四、主管税务机关应建立健全台账,详细记录涉税信`息,保管相关资料,及时组织清缴税款。纳税人未按核准期限缴清税款的,由主管税务局按照税法有关规定或相关企业的担保承诺处理。</w:t>
      </w:r>
    </w:p>
    <w:p>
      <w:pPr>
        <w:pStyle w:val="2"/>
        <w:ind w:firstLine="704"/>
      </w:pPr>
    </w:p>
    <w:p>
      <w:pPr>
        <w:rPr>
          <w:rFonts w:ascii="方正仿宋_GBK" w:eastAsia="方正仿宋_GBK"/>
          <w:sz w:val="32"/>
          <w:szCs w:val="32"/>
        </w:rPr>
      </w:pPr>
      <w:r>
        <w:rPr>
          <w:rFonts w:hint="eastAsia" w:ascii="方正仿宋_GBK" w:eastAsia="方正仿宋_GBK"/>
          <w:sz w:val="32"/>
          <w:szCs w:val="32"/>
        </w:rPr>
        <w:t xml:space="preserve">                            </w:t>
      </w:r>
      <w:r>
        <w:rPr>
          <w:rFonts w:ascii="方正仿宋_GBK" w:eastAsia="方正仿宋_GBK"/>
          <w:sz w:val="32"/>
          <w:szCs w:val="32"/>
        </w:rPr>
        <w:t xml:space="preserve">    </w:t>
      </w:r>
      <w:r>
        <w:rPr>
          <w:rFonts w:hint="eastAsia" w:ascii="方正仿宋_GBK" w:eastAsia="方正仿宋_GBK"/>
          <w:sz w:val="32"/>
          <w:szCs w:val="32"/>
        </w:rPr>
        <w:t>重庆市财政局</w:t>
      </w:r>
    </w:p>
    <w:p>
      <w:pPr>
        <w:rPr>
          <w:rFonts w:ascii="方正仿宋_GBK" w:eastAsia="方正仿宋_GBK"/>
          <w:sz w:val="32"/>
          <w:szCs w:val="32"/>
        </w:rPr>
      </w:pPr>
      <w:r>
        <w:rPr>
          <w:rFonts w:hint="eastAsia" w:ascii="方正仿宋_GBK" w:eastAsia="方正仿宋_GBK"/>
          <w:sz w:val="32"/>
          <w:szCs w:val="32"/>
        </w:rPr>
        <w:t xml:space="preserve">                            </w:t>
      </w:r>
      <w:r>
        <w:rPr>
          <w:rFonts w:ascii="方正仿宋_GBK" w:eastAsia="方正仿宋_GBK"/>
          <w:sz w:val="32"/>
          <w:szCs w:val="32"/>
        </w:rPr>
        <w:t xml:space="preserve">  </w:t>
      </w:r>
      <w:r>
        <w:rPr>
          <w:rFonts w:hint="eastAsia" w:ascii="方正仿宋_GBK" w:eastAsia="方正仿宋_GBK"/>
          <w:sz w:val="32"/>
          <w:szCs w:val="32"/>
        </w:rPr>
        <w:t>重庆市地方税务局</w:t>
      </w:r>
    </w:p>
    <w:p>
      <w:pPr>
        <w:rPr>
          <w:rFonts w:ascii="方正仿宋_GBK" w:eastAsia="方正仿宋_GBK"/>
          <w:sz w:val="32"/>
          <w:szCs w:val="32"/>
        </w:rPr>
      </w:pPr>
      <w:r>
        <w:rPr>
          <w:rFonts w:hint="eastAsia" w:ascii="方正仿宋_GBK" w:eastAsia="方正仿宋_GBK"/>
          <w:sz w:val="32"/>
          <w:szCs w:val="32"/>
        </w:rPr>
        <w:t xml:space="preserve">                           </w:t>
      </w:r>
      <w:r>
        <w:rPr>
          <w:rFonts w:ascii="方正仿宋_GBK" w:eastAsia="方正仿宋_GBK"/>
          <w:sz w:val="32"/>
          <w:szCs w:val="32"/>
        </w:rPr>
        <w:t xml:space="preserve"> </w:t>
      </w:r>
      <w:r>
        <w:rPr>
          <w:rFonts w:hint="eastAsia" w:ascii="方正仿宋_GBK" w:eastAsia="方正仿宋_GBK"/>
          <w:sz w:val="32"/>
          <w:szCs w:val="32"/>
        </w:rPr>
        <w:t xml:space="preserve"> 重庆市金融工作办公室</w:t>
      </w:r>
    </w:p>
    <w:p>
      <w:pPr>
        <w:rPr>
          <w:rFonts w:hint="eastAsia"/>
          <w:lang w:val="en-US" w:eastAsia="zh-CN"/>
        </w:rPr>
      </w:pPr>
      <w:r>
        <w:rPr>
          <w:rFonts w:hint="eastAsia" w:ascii="方正仿宋_GBK" w:eastAsia="方正仿宋_GBK"/>
          <w:sz w:val="32"/>
          <w:szCs w:val="32"/>
        </w:rPr>
        <w:t xml:space="preserve">                            </w:t>
      </w:r>
      <w:r>
        <w:rPr>
          <w:rFonts w:ascii="方正仿宋_GBK" w:eastAsia="方正仿宋_GBK"/>
          <w:sz w:val="32"/>
          <w:szCs w:val="32"/>
        </w:rPr>
        <w:t xml:space="preserve">  </w:t>
      </w:r>
      <w:r>
        <w:rPr>
          <w:rFonts w:hint="eastAsia" w:ascii="方正仿宋_GBK" w:eastAsia="方正仿宋_GBK"/>
          <w:sz w:val="32"/>
          <w:szCs w:val="32"/>
        </w:rPr>
        <w:t xml:space="preserve"> 2013年11月28日</w:t>
      </w:r>
    </w:p>
    <w:sectPr>
      <w:headerReference r:id="rId3" w:type="default"/>
      <w:footerReference r:id="rId4" w:type="default"/>
      <w:pgSz w:w="11906" w:h="16838"/>
      <w:pgMar w:top="1962" w:right="1474" w:bottom="1848" w:left="1587" w:header="851" w:footer="992" w:gutter="0"/>
      <w:pgNumType w:fmt="numberInDash"/>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3000509000000000000"/>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6" name="文本框 8"/>
              <wp:cNvGraphicFramePr/>
              <a:graphic xmlns:a="http://schemas.openxmlformats.org/drawingml/2006/main">
                <a:graphicData uri="http://schemas.microsoft.com/office/word/2010/wordprocessingShape">
                  <wps:wsp>
                    <wps:cNvSpPr/>
                    <wps:spPr>
                      <a:xfrm>
                        <a:off x="0" y="0"/>
                        <a:ext cx="444499" cy="230251"/>
                      </a:xfrm>
                      <a:prstGeom prst="rect">
                        <a:avLst/>
                      </a:prstGeom>
                      <a:noFill/>
                      <a:ln w="6350" cap="flat" cmpd="sng">
                        <a:noFill/>
                        <a:prstDash val="solid"/>
                        <a:round/>
                      </a:ln>
                    </wps:spPr>
                    <wps:txbx>
                      <w:txbxContent>
                        <w:p>
                          <w:pPr>
                            <w:pStyle w:val="6"/>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- 1 -</w:t>
                          </w:r>
                          <w:r>
                            <w:rPr>
                              <w:rFonts w:hint="eastAsia" w:asci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rect id="文本框 8" o:spid="_x0000_s1026" o:spt="1" style="position:absolute;left:0pt;margin-top:0pt;height:18.15pt;width:35pt;mso-position-horizontal:outside;mso-position-horizontal-relative:margin;mso-wrap-style:none;z-index:251659264;mso-width-relative:page;mso-height-relative:page;" filled="f" stroked="f" coordsize="21600,21600" o:gfxdata="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256p9YAAAADAQAADwAAAAAAAAABACAAAAAiAAAAZHJzL2Rv&#10;d25yZXYueG1sUEsBAhQAFAAAAAgAh07iQCHyDIsDAgAA9AMAAA4AAAAAAAAAAQAgAAAAJQEAAGRy&#10;cy9lMm9Eb2MueG1sUEsFBgAAAAAGAAYAWQEAAJoFAAAAAA==&#10;">
              <v:fill on="f" focussize="0,0"/>
              <v:stroke on="f" weight="0.5pt" joinstyle="round"/>
              <v:imagedata o:title=""/>
              <o:lock v:ext="edit" aspectratio="f"/>
              <v:textbox inset="0mm,0mm,0mm,0mm" style="mso-fit-shape-to-text:t;">
                <w:txbxContent>
                  <w:p>
                    <w:pPr>
                      <w:pStyle w:val="6"/>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- 1 -</w:t>
                    </w:r>
                    <w:r>
                      <w:rPr>
                        <w:rFonts w:hint="eastAsia" w:ascii="宋体" w:eastAsia="宋体" w:cs="宋体"/>
                        <w:sz w:val="28"/>
                        <w:szCs w:val="28"/>
                      </w:rPr>
                      <w:fldChar w:fldCharType="end"/>
                    </w:r>
                  </w:p>
                </w:txbxContent>
              </v:textbox>
            </v:rect>
          </w:pict>
        </mc:Fallback>
      </mc:AlternateContent>
    </w:r>
    <w:r>
      <w:rPr>
        <w:rFonts w:hint="eastAsia" w:eastAsia="仿宋"/>
        <w:sz w:val="32"/>
        <w:szCs w:val="48"/>
        <w:lang w:val="en-US" w:eastAsia="zh-CN"/>
      </w:rPr>
      <w:t xml:space="preserve">  </w:t>
    </w:r>
  </w:p>
  <w:p>
    <w:pPr>
      <w:pStyle w:val="7"/>
      <w:ind w:left="7296" w:leftChars="2280" w:firstLine="6400" w:firstLineChars="2000"/>
      <w:rPr>
        <w:sz w:val="32"/>
      </w:rPr>
    </w:pPr>
  </w:p>
  <w:p>
    <w:pPr>
      <w:pStyle w:val="7"/>
      <w:widowControl w:val="0"/>
      <w:pBdr>
        <w:top w:val="none" w:color="auto" w:sz="0" w:space="1"/>
        <w:left w:val="none" w:color="auto" w:sz="0" w:space="4"/>
        <w:bottom w:val="none" w:color="auto" w:sz="0" w:space="1"/>
        <w:right w:val="none" w:color="auto" w:sz="0" w:space="4"/>
        <w:between w:val="none" w:color="auto" w:sz="0" w:space="0"/>
      </w:pBdr>
      <w:wordWrap/>
      <w:snapToGrid w:val="0"/>
      <w:spacing w:afterAutospacing="0"/>
      <w:jc w:val="center"/>
      <w:rPr>
        <w:rFonts w:hint="eastAsia" w:ascii="宋体" w:eastAsia="宋体" w:cs="宋体"/>
        <w:b/>
        <w:bCs/>
        <w:color w:val="005192"/>
        <w:sz w:val="10"/>
        <w:szCs w:val="16"/>
        <w:lang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-25400</wp:posOffset>
              </wp:positionV>
              <wp:extent cx="5594985" cy="24130"/>
              <wp:effectExtent l="0" t="10795" r="5715" b="15875"/>
              <wp:wrapNone/>
              <wp:docPr id="2" name="直接箭头连接符 2"/>
              <wp:cNvGraphicFramePr/>
              <a:graphic xmlns:a="http://schemas.openxmlformats.org/drawingml/2006/main">
                <a:graphicData uri="http://schemas.microsoft.com/office/word/2010/wordprocessingShape">
                  <wps:wsp>
                    <wps:cNvCnPr/>
                    <wps:spPr>
                      <a:xfrm flipV="1">
                        <a:off x="0" y="0"/>
                        <a:ext cx="5594985" cy="24130"/>
                      </a:xfrm>
                      <a:prstGeom prst="straightConnector1">
                        <a:avLst/>
                      </a:prstGeom>
                      <a:ln w="22225" cap="flat" cmpd="sng">
                        <a:solidFill>
                          <a:srgbClr val="005192"/>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1.1pt;margin-top:-2pt;height:1.9pt;width:440.55pt;z-index:251660288;mso-width-relative:page;mso-height-relative:page;" filled="f" stroked="t" coordsize="21600,21600" o:gfxdata="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jwlS1gAAAAYBAAAPAAAAAAAAAAEAIAAA&#10;ACIAAABkcnMvZG93bnJldi54bWxQSwECFAAUAAAACACHTuJALyzEnQ4CAAAFBAAADgAAAAAAAAAB&#10;ACAAAAAlAQAAZHJzL2Uyb0RvYy54bWxQSwUGAAAAAAYABgBZAQAApQUAAAAA&#10;">
              <v:fill on="f" focussize="0,0"/>
              <v:stroke weight="1.75pt" color="#005192" joinstyle="round"/>
              <v:imagedata o:title=""/>
              <o:lock v:ext="edit" aspectratio="f"/>
            </v:shape>
          </w:pict>
        </mc:Fallback>
      </mc:AlternateContent>
    </w:r>
  </w:p>
  <w:p>
    <w:pPr>
      <w:pStyle w:val="7"/>
      <w:widowControl w:val="0"/>
      <w:pBdr>
        <w:top w:val="none" w:color="auto" w:sz="0" w:space="1"/>
        <w:left w:val="none" w:color="auto" w:sz="0" w:space="4"/>
        <w:bottom w:val="none" w:color="auto" w:sz="0" w:space="1"/>
        <w:right w:val="none" w:color="auto" w:sz="0" w:space="4"/>
        <w:between w:val="none" w:color="auto" w:sz="0" w:space="0"/>
      </w:pBdr>
      <w:wordWrap/>
      <w:snapToGrid w:val="0"/>
      <w:spacing w:afterAutospacing="0"/>
      <w:jc w:val="center"/>
      <w:rPr>
        <w:rFonts w:hint="eastAsia" w:ascii="宋体" w:eastAsia="宋体" w:cs="宋体"/>
        <w:b/>
        <w:bCs/>
        <w:color w:val="005192"/>
        <w:sz w:val="28"/>
        <w:szCs w:val="44"/>
        <w:lang w:val="en-US" w:eastAsia="zh-CN"/>
      </w:rPr>
    </w:pPr>
    <w:r>
      <w:rPr>
        <w:rFonts w:hint="eastAsia" w:ascii="宋体" w:eastAsia="宋体" w:cs="宋体"/>
        <w:b/>
        <w:bCs/>
        <w:color w:val="005192"/>
        <w:sz w:val="28"/>
        <w:szCs w:val="44"/>
        <w:lang w:eastAsia="zh-CN"/>
      </w:rPr>
      <w:t>重庆市财政局</w:t>
    </w:r>
    <w:r>
      <w:rPr>
        <w:rFonts w:hint="eastAsia" w:ascii="宋体" w:eastAsia="宋体" w:cs="宋体"/>
        <w:b/>
        <w:bCs/>
        <w:color w:val="005192"/>
        <w:sz w:val="28"/>
        <w:szCs w:val="44"/>
        <w:lang w:val="en-US" w:eastAsia="zh-CN"/>
      </w:rPr>
      <w:t>发布</w:t>
    </w:r>
  </w:p>
  <w:p>
    <w:pPr>
      <w:pStyle w:val="7"/>
      <w:wordWrap w:val="0"/>
      <w:ind w:left="7296" w:leftChars="2280" w:firstLine="5622" w:firstLineChars="2000"/>
      <w:jc w:val="right"/>
      <w:rPr>
        <w:rFonts w:hint="eastAsia" w:asci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eastAsia="方正仿宋_GBK" w:cs="方正仿宋_GBK"/>
        <w:b/>
        <w:bCs/>
        <w:color w:val="000000"/>
        <w:sz w:val="32"/>
        <w:lang w:val="en-US" w:eastAsia="zh-CN"/>
      </w:rPr>
    </w:pPr>
    <w:r>
      <w:rPr>
        <w:rFonts w:hint="eastAsia" w:ascii="方正仿宋_GBK" w:eastAsia="方正仿宋_GBK" w:cs="方正仿宋_GBK"/>
        <w:b/>
        <w:bCs/>
        <w:color w:val="000000"/>
        <w:sz w:val="32"/>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689610</wp:posOffset>
              </wp:positionV>
              <wp:extent cx="5620385" cy="635"/>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952"/>
                      </a:xfrm>
                      <a:prstGeom prst="line">
                        <a:avLst/>
                      </a:prstGeom>
                      <a:noFill/>
                      <a:ln w="22225" cap="flat" cmpd="sng">
                        <a:solidFill>
                          <a:srgbClr val="005192"/>
                        </a:solidFill>
                        <a:prstDash val="solid"/>
                        <a:round/>
                      </a:ln>
                    </wps:spPr>
                    <wps:bodyPr vert="horz" wrap="square" lIns="91440" tIns="45720" rIns="91440" bIns="45720" anchor="t" anchorCtr="0" upright="1">
                      <a:noAutofit/>
                    </wps:bodyPr>
                  </wps:wsp>
                </a:graphicData>
              </a:graphic>
            </wp:anchor>
          </w:drawing>
        </mc:Choice>
        <mc:Fallback>
          <w:pict>
            <v:line id="直接连接符 4" o:spid="_x0000_s1026" o:spt="20" style="position:absolute;left:0pt;margin-left:0pt;margin-top:54.3pt;height:0.05pt;width:442.55pt;z-index:251659264;mso-width-relative:page;mso-height-relative:page;" filled="f" stroked="t" coordsize="21600,21600" o:gfxdata="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seGLR0gAAAAgB&#10;AAAPAAAAAAAAAAEAIAAAACIAAABkcnMvZG93bnJldi54bWxQSwECFAAUAAAACACHTuJA5gY4ECEC&#10;AAApBAAADgAAAAAAAAABACAAAAAhAQAAZHJzL2Uyb0RvYy54bWxQSwUGAAAAAAYABgBZAQAAtAUA&#10;AAAA&#10;">
              <v:fill on="f" focussize="0,0"/>
              <v:stroke weight="1.75pt" color="#005192" joinstyle="round"/>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eastAsia="宋体" w:cs="宋体"/>
        <w:b/>
        <w:bCs/>
        <w:color w:val="005192"/>
        <w:sz w:val="32"/>
        <w:szCs w:val="32"/>
        <w:lang w:val="en-US" w:eastAsia="zh-CN"/>
      </w:rPr>
    </w:pPr>
    <w:r>
      <w:rPr>
        <w:rFonts w:hint="eastAsia" w:ascii="宋体" w:eastAsia="宋体" w:cs="宋体"/>
        <w:b/>
        <w:bCs/>
        <w:color w:val="005192"/>
        <w:sz w:val="32"/>
      </w:rPr>
      <w:drawing>
        <wp:inline distT="0" distB="0" distL="114300" distR="114300">
          <wp:extent cx="308610" cy="308610"/>
          <wp:effectExtent l="0" t="0" r="0" b="0"/>
          <wp:docPr id="3" name="图片 6" descr="国徽1024"/>
          <wp:cNvGraphicFramePr/>
          <a:graphic xmlns:a="http://schemas.openxmlformats.org/drawingml/2006/main">
            <a:graphicData uri="http://schemas.openxmlformats.org/drawingml/2006/picture">
              <pic:pic xmlns:pic="http://schemas.openxmlformats.org/drawingml/2006/picture">
                <pic:nvPicPr>
                  <pic:cNvPr id="3" name="图片 6" descr="国徽1024"/>
                  <pic:cNvPicPr/>
                </pic:nvPicPr>
                <pic:blipFill>
                  <a:blip r:embed="rId1"/>
                  <a:stretch>
                    <a:fillRect/>
                  </a:stretch>
                </pic:blipFill>
                <pic:spPr>
                  <a:xfrm>
                    <a:off x="0" y="0"/>
                    <a:ext cx="308610" cy="308610"/>
                  </a:xfrm>
                  <a:prstGeom prst="rect">
                    <a:avLst/>
                  </a:prstGeom>
                  <a:noFill/>
                  <a:ln w="9525" cap="flat" cmpd="sng">
                    <a:noFill/>
                    <a:prstDash val="solid"/>
                    <a:miter/>
                  </a:ln>
                </pic:spPr>
              </pic:pic>
            </a:graphicData>
          </a:graphic>
        </wp:inline>
      </w:drawing>
    </w:r>
    <w:r>
      <w:rPr>
        <w:rFonts w:hint="eastAsia" w:ascii="宋体" w:eastAsia="宋体" w:cs="宋体"/>
        <w:b/>
        <w:bCs/>
        <w:color w:val="005192"/>
        <w:sz w:val="32"/>
        <w:lang w:eastAsia="zh-CN"/>
      </w:rPr>
      <w:t>重庆市财政局</w:t>
    </w:r>
    <w:r>
      <w:rPr>
        <w:rFonts w:hint="eastAsia" w:ascii="宋体" w:eastAsia="宋体" w:cs="宋体"/>
        <w:b/>
        <w:bCs/>
        <w:color w:val="005192"/>
        <w:sz w:val="32"/>
        <w:szCs w:val="32"/>
        <w:lang w:val="en-U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60"/>
  <w:drawingGridVerticalSpacing w:val="158"/>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ulTrailSpace/>
    <w:doNotExpandShiftReturn/>
    <w:adjustLineHeightInTable/>
    <w:growAutofit/>
    <w:useFELayout/>
    <w:doNotUseIndentAsNumberingTabStop/>
    <w:useAltKinsokuLineBreakRules/>
    <w:compatSetting w:name="compatibilityMode" w:uri="http://schemas.microsoft.com/office/word" w:val="14"/>
  </w:compat>
  <w:docVars>
    <w:docVar w:name="commondata" w:val="eyJoZGlkIjoiY2I0MzIwYzU5ZjJjZGY1NzhkOWMxZTk3MTlhMjY3NWMifQ=="/>
  </w:docVars>
  <w:rsids>
    <w:rsidRoot w:val="00000000"/>
    <w:rsid w:val="196952BD"/>
    <w:rsid w:val="4F8440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4"/>
    <w:basedOn w:val="1"/>
    <w:next w:val="1"/>
    <w:autoRedefine/>
    <w:qFormat/>
    <w:uiPriority w:val="0"/>
    <w:pPr>
      <w:keepNext/>
      <w:keepLines/>
      <w:widowControl w:val="0"/>
      <w:spacing w:before="280" w:after="290" w:line="372" w:lineRule="auto"/>
      <w:outlineLvl w:val="3"/>
    </w:pPr>
    <w:rPr>
      <w:rFonts w:ascii="Arial" w:hAnsi="Arial" w:eastAsia="黑体"/>
      <w:b/>
      <w:sz w:val="28"/>
    </w:rPr>
  </w:style>
  <w:style w:type="character" w:default="1" w:styleId="11">
    <w:name w:val="Default Paragraph Font"/>
    <w:autoRedefine/>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autoRedefine/>
    <w:qFormat/>
    <w:uiPriority w:val="0"/>
    <w:pPr>
      <w:widowControl w:val="0"/>
      <w:jc w:val="center"/>
    </w:pPr>
    <w:rPr>
      <w:rFonts w:ascii="Calibri" w:hAnsi="Calibri" w:eastAsia="宋体" w:cs="Times New Roman"/>
      <w:b/>
      <w:kern w:val="2"/>
      <w:sz w:val="48"/>
      <w:szCs w:val="20"/>
      <w:lang w:val="en-US" w:eastAsia="zh-CN" w:bidi="ar-SA"/>
    </w:rPr>
  </w:style>
  <w:style w:type="paragraph" w:styleId="4">
    <w:name w:val="annotation text"/>
    <w:basedOn w:val="1"/>
    <w:autoRedefine/>
    <w:qFormat/>
    <w:uiPriority w:val="0"/>
    <w:pPr>
      <w:jc w:val="left"/>
    </w:pPr>
  </w:style>
  <w:style w:type="paragraph" w:styleId="5">
    <w:name w:val="Body Text Indent"/>
    <w:autoRedefine/>
    <w:qFormat/>
    <w:uiPriority w:val="0"/>
    <w:pPr>
      <w:widowControl w:val="0"/>
      <w:spacing w:after="120"/>
      <w:ind w:left="200" w:leftChars="200"/>
      <w:jc w:val="both"/>
    </w:pPr>
    <w:rPr>
      <w:rFonts w:ascii="Times New Roman" w:hAnsi="Times New Roman" w:eastAsia="方正仿宋_GBK" w:cs="Times New Roman"/>
      <w:kern w:val="2"/>
      <w:sz w:val="32"/>
      <w:lang w:val="en-US" w:eastAsia="zh-CN" w:bidi="ar-SA"/>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rPr>
  </w:style>
  <w:style w:type="paragraph" w:styleId="9">
    <w:name w:val="Body Text First Indent 2"/>
    <w:autoRedefine/>
    <w:qFormat/>
    <w:uiPriority w:val="0"/>
    <w:pPr>
      <w:widowControl w:val="0"/>
      <w:spacing w:after="120"/>
      <w:ind w:left="200" w:leftChars="200" w:firstLine="200" w:firstLineChars="200"/>
      <w:jc w:val="both"/>
    </w:pPr>
    <w:rPr>
      <w:rFonts w:ascii="Times New Roman" w:hAnsi="Times New Roman" w:eastAsia="方正仿宋_GBK" w:cs="Times New Roman"/>
      <w:kern w:val="2"/>
      <w:sz w:val="32"/>
      <w:lang w:val="en-US" w:eastAsia="zh-CN" w:bidi="ar-SA"/>
    </w:rPr>
  </w:style>
  <w:style w:type="character" w:styleId="12">
    <w:name w:val="Strong"/>
    <w:basedOn w:val="11"/>
    <w:autoRedefine/>
    <w:qFormat/>
    <w:uiPriority w:val="0"/>
    <w:rPr>
      <w:b/>
      <w:bCs/>
    </w:rPr>
  </w:style>
  <w:style w:type="character" w:styleId="13">
    <w:name w:val="page number"/>
    <w:autoRedefine/>
    <w:qFormat/>
    <w:uiPriority w:val="0"/>
  </w:style>
  <w:style w:type="paragraph" w:customStyle="1" w:styleId="14">
    <w:name w:val="p0"/>
    <w:basedOn w:val="1"/>
    <w:autoRedefine/>
    <w:qFormat/>
    <w:uiPriority w:val="0"/>
    <w:pPr>
      <w:widowControl/>
    </w:pPr>
    <w:rPr>
      <w:rFonts w:ascii="Calibri" w:hAnsi="Calibri" w:eastAsia="宋体" w:cs="宋体"/>
      <w:kern w:val="0"/>
      <w:szCs w:val="32"/>
    </w:rPr>
  </w:style>
  <w:style w:type="paragraph" w:customStyle="1" w:styleId="15">
    <w:name w:val="列出段落1"/>
    <w:basedOn w:val="1"/>
    <w:autoRedefine/>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3</Pages>
  <Words>848</Words>
  <Characters>859</Characters>
  <Lines>43</Lines>
  <Paragraphs>16</Paragraphs>
  <TotalTime>1</TotalTime>
  <ScaleCrop>false</ScaleCrop>
  <LinksUpToDate>false</LinksUpToDate>
  <CharactersWithSpaces>1033</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2021-09-13T02:41:00Z</dcterms:created>
  <dc:creator>t</dc:creator>
  <cp:lastModifiedBy>m</cp:lastModifiedBy>
  <cp:lastPrinted>2022-06-08T16:09:00Z</cp:lastPrinted>
  <dcterms:modified xsi:type="dcterms:W3CDTF">2024-01-04T07:56:15Z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48C61CB29D3F4D9384F5922CF0F7FFB4</vt:lpwstr>
  </property>
</Properties>
</file>