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F9" w:rsidRDefault="007D24F9" w:rsidP="007D24F9">
      <w:pPr>
        <w:spacing w:line="600" w:lineRule="exact"/>
        <w:rPr>
          <w:rFonts w:eastAsia="方正黑体_GBK" w:cs="方正黑体_GBK"/>
          <w:kern w:val="0"/>
          <w:szCs w:val="32"/>
          <w:lang w:bidi="ar"/>
        </w:rPr>
      </w:pPr>
      <w:r>
        <w:rPr>
          <w:rFonts w:eastAsia="方正黑体_GBK" w:cs="方正黑体_GBK" w:hint="eastAsia"/>
          <w:kern w:val="0"/>
          <w:szCs w:val="32"/>
          <w:lang w:bidi="ar"/>
        </w:rPr>
        <w:t>附件</w:t>
      </w:r>
      <w:r>
        <w:rPr>
          <w:rFonts w:eastAsia="方正黑体_GBK" w:cs="方正黑体_GBK" w:hint="eastAsia"/>
          <w:kern w:val="0"/>
          <w:szCs w:val="32"/>
          <w:lang w:bidi="ar"/>
        </w:rPr>
        <w:t>2</w:t>
      </w:r>
      <w:r>
        <w:rPr>
          <w:rFonts w:eastAsia="方正仿宋_GBK" w:cs="方正仿宋_GBK" w:hint="eastAsia"/>
          <w:kern w:val="0"/>
          <w:szCs w:val="32"/>
          <w:lang w:bidi="ar"/>
        </w:rPr>
        <w:t>-</w:t>
      </w:r>
      <w:r>
        <w:rPr>
          <w:rFonts w:eastAsia="方正黑体_GBK" w:cs="方正黑体_GBK" w:hint="eastAsia"/>
          <w:kern w:val="0"/>
          <w:szCs w:val="32"/>
          <w:lang w:bidi="ar"/>
        </w:rPr>
        <w:t>1</w:t>
      </w:r>
    </w:p>
    <w:p w:rsidR="007D24F9" w:rsidRDefault="007D24F9" w:rsidP="007D24F9">
      <w:pPr>
        <w:spacing w:line="600" w:lineRule="exact"/>
        <w:rPr>
          <w:rFonts w:eastAsia="方正黑体_GBK" w:cs="方正黑体_GBK"/>
          <w:kern w:val="0"/>
          <w:szCs w:val="32"/>
          <w:lang w:bidi="ar"/>
        </w:rPr>
      </w:pPr>
    </w:p>
    <w:p w:rsidR="007D24F9" w:rsidRDefault="007D24F9" w:rsidP="007D24F9">
      <w:pPr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2025</w:t>
      </w:r>
      <w:r>
        <w:rPr>
          <w:rFonts w:eastAsia="方正小标宋_GBK" w:cs="方正小标宋_GBK" w:hint="eastAsia"/>
          <w:sz w:val="44"/>
          <w:szCs w:val="44"/>
        </w:rPr>
        <w:t>年第二批“以奖促治”资金项目法分配表</w:t>
      </w:r>
    </w:p>
    <w:p w:rsidR="007D24F9" w:rsidRDefault="007D24F9" w:rsidP="007D24F9">
      <w:pPr>
        <w:spacing w:line="600" w:lineRule="exact"/>
        <w:jc w:val="center"/>
        <w:rPr>
          <w:rFonts w:eastAsia="方正楷体_GBK" w:cs="方正楷体_GBK"/>
          <w:kern w:val="0"/>
          <w:szCs w:val="32"/>
          <w:lang w:bidi="ar"/>
        </w:rPr>
      </w:pPr>
      <w:r>
        <w:rPr>
          <w:rFonts w:eastAsia="方正楷体_GBK" w:cs="方正楷体_GBK" w:hint="eastAsia"/>
          <w:szCs w:val="32"/>
        </w:rPr>
        <w:t>——中心城区国四及以下排放标准</w:t>
      </w:r>
      <w:r w:rsidR="00B10041">
        <w:rPr>
          <w:rFonts w:eastAsia="方正楷体_GBK" w:cs="方正楷体_GBK" w:hint="eastAsia"/>
          <w:szCs w:val="32"/>
        </w:rPr>
        <w:t>非营运</w:t>
      </w:r>
      <w:bookmarkStart w:id="0" w:name="_GoBack"/>
      <w:bookmarkEnd w:id="0"/>
      <w:r>
        <w:rPr>
          <w:rFonts w:eastAsia="方正楷体_GBK" w:cs="方正楷体_GBK" w:hint="eastAsia"/>
          <w:szCs w:val="32"/>
        </w:rPr>
        <w:t>柴油</w:t>
      </w:r>
      <w:r>
        <w:rPr>
          <w:rFonts w:eastAsia="方正楷体_GBK" w:cs="方正楷体_GBK" w:hint="eastAsia"/>
          <w:kern w:val="0"/>
          <w:szCs w:val="32"/>
          <w:lang w:bidi="ar"/>
        </w:rPr>
        <w:t>货车淘汰</w:t>
      </w:r>
    </w:p>
    <w:p w:rsidR="007D24F9" w:rsidRDefault="007D24F9" w:rsidP="007D24F9">
      <w:pPr>
        <w:spacing w:line="600" w:lineRule="exact"/>
        <w:jc w:val="center"/>
        <w:rPr>
          <w:rFonts w:eastAsia="方正小标宋_GBK" w:cs="方正小标宋_GBK"/>
          <w:spacing w:val="-11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2"/>
        <w:gridCol w:w="4825"/>
        <w:gridCol w:w="2835"/>
      </w:tblGrid>
      <w:tr w:rsidR="00FA2686" w:rsidTr="00FA2686">
        <w:trPr>
          <w:trHeight w:hRule="exact" w:val="12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86" w:rsidRDefault="00FA2686" w:rsidP="00891504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86" w:rsidRDefault="00FA2686" w:rsidP="00891504">
            <w:pPr>
              <w:widowControl/>
              <w:spacing w:line="360" w:lineRule="exact"/>
              <w:jc w:val="center"/>
              <w:rPr>
                <w:rFonts w:eastAsia="方正黑体_GBK" w:hint="eastAsia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</w:rPr>
              <w:t>预算</w:t>
            </w:r>
            <w:r>
              <w:rPr>
                <w:rFonts w:eastAsia="方正黑体_GBK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686" w:rsidRDefault="00FA2686" w:rsidP="00891504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</w:rPr>
              <w:t>金额</w:t>
            </w:r>
            <w:r>
              <w:rPr>
                <w:rFonts w:eastAsia="方正黑体_GBK"/>
                <w:kern w:val="0"/>
                <w:sz w:val="28"/>
                <w:szCs w:val="28"/>
              </w:rPr>
              <w:t>（万元）</w:t>
            </w:r>
          </w:p>
        </w:tc>
      </w:tr>
      <w:tr w:rsidR="00FA2686" w:rsidTr="00FA2686">
        <w:trPr>
          <w:trHeight w:hRule="exact" w:val="735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86" w:rsidRDefault="00FA2686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86" w:rsidRPr="00FA2686" w:rsidRDefault="00FA2686" w:rsidP="00891504">
            <w:pPr>
              <w:widowControl/>
              <w:spacing w:line="600" w:lineRule="exact"/>
              <w:jc w:val="center"/>
              <w:rPr>
                <w:rFonts w:eastAsia="方正仿宋_GBK" w:hint="eastAsia"/>
                <w:color w:val="4F81BD" w:themeColor="accent1"/>
                <w:kern w:val="0"/>
                <w:sz w:val="28"/>
                <w:szCs w:val="28"/>
              </w:rPr>
            </w:pPr>
            <w:r w:rsidRPr="00FA2686">
              <w:rPr>
                <w:rFonts w:eastAsia="方正仿宋_GBK" w:hint="eastAsia"/>
                <w:color w:val="4F81BD" w:themeColor="accent1"/>
                <w:kern w:val="0"/>
                <w:sz w:val="28"/>
                <w:szCs w:val="28"/>
              </w:rPr>
              <w:t>市</w:t>
            </w:r>
            <w:r w:rsidRPr="00FA2686">
              <w:rPr>
                <w:rFonts w:eastAsia="方正仿宋_GBK"/>
                <w:color w:val="4F81BD" w:themeColor="accent1"/>
                <w:kern w:val="0"/>
                <w:sz w:val="28"/>
                <w:szCs w:val="28"/>
              </w:rPr>
              <w:t>机动车排气污染管理中心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686" w:rsidRPr="00FA2686" w:rsidRDefault="00FA2686" w:rsidP="00891504">
            <w:pPr>
              <w:widowControl/>
              <w:spacing w:line="600" w:lineRule="exact"/>
              <w:jc w:val="center"/>
              <w:rPr>
                <w:rFonts w:eastAsia="宋体"/>
                <w:color w:val="4F81BD" w:themeColor="accent1"/>
                <w:kern w:val="0"/>
                <w:sz w:val="28"/>
                <w:szCs w:val="28"/>
              </w:rPr>
            </w:pPr>
            <w:r w:rsidRPr="00FA2686">
              <w:rPr>
                <w:rFonts w:eastAsia="宋体"/>
                <w:color w:val="4F81BD" w:themeColor="accent1"/>
                <w:kern w:val="0"/>
                <w:sz w:val="28"/>
                <w:szCs w:val="28"/>
              </w:rPr>
              <w:t>3000</w:t>
            </w:r>
          </w:p>
        </w:tc>
      </w:tr>
    </w:tbl>
    <w:p w:rsidR="007D24F9" w:rsidRDefault="007D24F9" w:rsidP="007D24F9">
      <w:pPr>
        <w:pStyle w:val="a4"/>
        <w:sectPr w:rsidR="007D24F9">
          <w:pgSz w:w="11907" w:h="16840"/>
          <w:pgMar w:top="2098" w:right="1474" w:bottom="1984" w:left="1588" w:header="851" w:footer="1474" w:gutter="0"/>
          <w:cols w:space="720"/>
          <w:docGrid w:type="linesAndChars" w:linePitch="579" w:charSpace="-842"/>
        </w:sectPr>
      </w:pPr>
    </w:p>
    <w:p w:rsidR="007D24F9" w:rsidRDefault="007D24F9" w:rsidP="007D24F9">
      <w:pPr>
        <w:pStyle w:val="4"/>
        <w:snapToGrid w:val="0"/>
        <w:spacing w:line="240" w:lineRule="auto"/>
        <w:jc w:val="both"/>
        <w:rPr>
          <w:rStyle w:val="font241"/>
          <w:rFonts w:eastAsia="方正黑体_GBK"/>
          <w:b w:val="0"/>
          <w:bCs w:val="0"/>
          <w:color w:val="auto"/>
          <w:lang w:bidi="ar"/>
        </w:rPr>
      </w:pP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2</w:t>
      </w:r>
      <w:r>
        <w:rPr>
          <w:rFonts w:ascii="Times New Roman" w:eastAsia="方正仿宋_GBK" w:hAnsi="Times New Roman" w:cs="方正仿宋_GBK" w:hint="eastAsia"/>
          <w:b w:val="0"/>
          <w:bCs w:val="0"/>
          <w:kern w:val="0"/>
          <w:sz w:val="32"/>
          <w:szCs w:val="32"/>
          <w:lang w:bidi="ar"/>
        </w:rPr>
        <w:t>-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2</w:t>
      </w:r>
    </w:p>
    <w:p w:rsidR="007D24F9" w:rsidRDefault="007D24F9" w:rsidP="007D24F9">
      <w:pPr>
        <w:snapToGrid w:val="0"/>
        <w:jc w:val="center"/>
        <w:rPr>
          <w:rFonts w:eastAsia="方正小标宋_GBK" w:cs="方正小标宋_GBK"/>
          <w:kern w:val="0"/>
          <w:sz w:val="44"/>
          <w:szCs w:val="44"/>
          <w:lang w:bidi="ar"/>
        </w:rPr>
      </w:pP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2025</w:t>
      </w: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年第二批“以奖促治”资金项目法分配表</w:t>
      </w:r>
    </w:p>
    <w:p w:rsidR="007D24F9" w:rsidRDefault="007D24F9" w:rsidP="007D24F9">
      <w:pPr>
        <w:snapToGrid w:val="0"/>
        <w:jc w:val="center"/>
        <w:rPr>
          <w:rFonts w:eastAsia="方正楷体_GBK" w:cs="方正楷体_GBK"/>
          <w:kern w:val="0"/>
          <w:szCs w:val="32"/>
          <w:lang w:bidi="ar"/>
        </w:rPr>
      </w:pPr>
      <w:r>
        <w:rPr>
          <w:rFonts w:eastAsia="方正楷体_GBK" w:cs="方正楷体_GBK" w:hint="eastAsia"/>
          <w:kern w:val="0"/>
          <w:szCs w:val="32"/>
          <w:lang w:bidi="ar"/>
        </w:rPr>
        <w:t>——</w:t>
      </w:r>
      <w:r>
        <w:rPr>
          <w:rFonts w:eastAsia="方正楷体_GBK" w:cs="方正楷体_GBK" w:hint="eastAsia"/>
          <w:szCs w:val="32"/>
        </w:rPr>
        <w:t>重点区域餐饮油烟深度治理项目</w:t>
      </w:r>
    </w:p>
    <w:p w:rsidR="007D24F9" w:rsidRDefault="007D24F9" w:rsidP="007D24F9">
      <w:pPr>
        <w:pStyle w:val="4"/>
        <w:wordWrap w:val="0"/>
        <w:snapToGrid w:val="0"/>
        <w:spacing w:line="240" w:lineRule="auto"/>
        <w:rPr>
          <w:rFonts w:ascii="Times New Roman" w:hAnsi="Times New Roman"/>
          <w:b w:val="0"/>
          <w:bCs w:val="0"/>
        </w:rPr>
      </w:pPr>
      <w:r>
        <w:rPr>
          <w:rStyle w:val="font01"/>
          <w:rFonts w:ascii="Times New Roman" w:hAnsi="Times New Roman" w:hint="eastAsia"/>
          <w:b w:val="0"/>
          <w:bCs w:val="0"/>
          <w:lang w:bidi="ar"/>
        </w:rPr>
        <w:t xml:space="preserve">                                                                                       </w:t>
      </w:r>
      <w:r>
        <w:rPr>
          <w:rStyle w:val="font01"/>
          <w:rFonts w:ascii="Times New Roman" w:hAnsi="Times New Roman"/>
          <w:b w:val="0"/>
          <w:bCs w:val="0"/>
          <w:lang w:bidi="ar"/>
        </w:rPr>
        <w:t>单位：万元</w:t>
      </w:r>
    </w:p>
    <w:tbl>
      <w:tblPr>
        <w:tblW w:w="109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1111"/>
        <w:gridCol w:w="622"/>
        <w:gridCol w:w="1733"/>
        <w:gridCol w:w="4554"/>
        <w:gridCol w:w="860"/>
        <w:gridCol w:w="1542"/>
      </w:tblGrid>
      <w:tr w:rsidR="006B2A32" w:rsidTr="006B2A32">
        <w:trPr>
          <w:trHeight w:val="567"/>
          <w:tblHeader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所在</w:t>
            </w:r>
            <w:r>
              <w:rPr>
                <w:rFonts w:eastAsia="方正黑体_GBK"/>
                <w:kern w:val="0"/>
                <w:sz w:val="24"/>
                <w:lang w:bidi="ar"/>
              </w:rPr>
              <w:br/>
            </w:r>
            <w:r>
              <w:rPr>
                <w:rFonts w:eastAsia="方正黑体_GBK"/>
                <w:kern w:val="0"/>
                <w:sz w:val="24"/>
                <w:lang w:bidi="ar"/>
              </w:rPr>
              <w:t>区县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项目概况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补助</w:t>
            </w:r>
            <w:r>
              <w:rPr>
                <w:rFonts w:eastAsia="方正黑体_GBK" w:hint="eastAsia"/>
                <w:kern w:val="0"/>
                <w:sz w:val="24"/>
                <w:lang w:bidi="ar"/>
              </w:rPr>
              <w:t>金额</w:t>
            </w:r>
          </w:p>
        </w:tc>
      </w:tr>
      <w:tr w:rsidR="006B2A32" w:rsidTr="006B2A32">
        <w:trPr>
          <w:trHeight w:val="567"/>
          <w:jc w:val="center"/>
        </w:trPr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合计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  <w:lang w:bidi="ar"/>
              </w:rPr>
              <w:t>3651.89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  <w:lang w:bidi="ar"/>
              </w:rPr>
              <w:t>2886</w:t>
            </w:r>
          </w:p>
        </w:tc>
      </w:tr>
      <w:tr w:rsidR="006B2A32" w:rsidTr="006B2A32">
        <w:trPr>
          <w:trHeight w:val="240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沙坪坝区生态环境局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沙坪坝区重点区域餐饮油烟深度治理项目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主要对歌乐山街道歌乐康居苑、山城小院小区，共计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栋居民楼开展油烟深度治理，安装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套集中油烟深度净化设施。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253</w:t>
            </w:r>
          </w:p>
        </w:tc>
      </w:tr>
      <w:tr w:rsidR="006B2A32" w:rsidTr="006B2A32">
        <w:trPr>
          <w:trHeight w:val="25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九龙坡区生态环境局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九龙坡区谢家湾街道民主村片区油烟集中深度治理项目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该项目主要对九龙坡区谢家湾街道民主村区域，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栋居民楼开展油烟深度治理，安装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套集中油烟深度净化设施及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组公共烟道。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663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524</w:t>
            </w:r>
          </w:p>
        </w:tc>
      </w:tr>
      <w:tr w:rsidR="006B2A32" w:rsidTr="006B2A32">
        <w:trPr>
          <w:trHeight w:val="244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重庆大学虎溪校区食堂油烟深度治理（一期）项目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该项目拟对重庆大学虎溪校区一食堂进行油烟深度治理，治理对象包括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个餐饮档口、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个排放口，油烟集气罩面积约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170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㎡，设计处理风量约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万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m³/h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；现计划拆除老旧净化器，重新梳理和安装排气管道、规范设计治理设施，每个排放口安装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套治理设备（组合工艺）进行深度治理，共计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493.51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390</w:t>
            </w:r>
          </w:p>
        </w:tc>
      </w:tr>
      <w:tr w:rsidR="006B2A32" w:rsidTr="006B2A32">
        <w:trPr>
          <w:trHeight w:val="32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合川区生态环境局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合川区重点区域餐饮油烟深度治理项目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该项目主要对国控点合阳中学区域周边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米范围内的书院路和什字街的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栋居民楼开展油烟深度治理，安装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套集中油烟深度净化设施及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组公共烟道。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466</w:t>
            </w:r>
          </w:p>
        </w:tc>
      </w:tr>
      <w:tr w:rsidR="006B2A32" w:rsidTr="006B2A32">
        <w:trPr>
          <w:trHeight w:val="56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璧山区生态环境局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璧山区餐饮油烟面源污染综合治理项目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主要对璧山区虎峰国控站周边餐饮油烟排放集中的华龙小区，机电大学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个片区开展餐饮油烟面源综合治理，拟对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768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户居民开展油烟深度治理，安装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套油烟净化设备和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</w:t>
            </w:r>
            <w:r>
              <w:rPr>
                <w:rFonts w:eastAsia="方正仿宋_GBK" w:hint="eastAsia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公共烟道。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448.4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354</w:t>
            </w:r>
          </w:p>
        </w:tc>
      </w:tr>
      <w:tr w:rsidR="006B2A32" w:rsidTr="006B2A32">
        <w:trPr>
          <w:trHeight w:val="56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綦江区生态环境局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綦江区重点区域居民楼公共烟道大气污染物集中治理项目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该项目主要对綦江区古南街道滩子口国控站区域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个小区，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栋居民楼开展油烟深度治理，安装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76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套集中油烟深度净化设施及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组公共烟道。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346.98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275</w:t>
            </w:r>
          </w:p>
        </w:tc>
      </w:tr>
      <w:tr w:rsidR="006B2A32" w:rsidTr="006B2A32">
        <w:trPr>
          <w:trHeight w:val="1961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梁平区生态环境局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梁平区重点区域油烟深度治理项目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该项目计划在重点区域安装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台高效无动力独立烟道净化设施，惠及户数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1024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户，年油烟减排量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1.38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吨。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316</w:t>
            </w:r>
          </w:p>
        </w:tc>
      </w:tr>
      <w:tr w:rsidR="006B2A32" w:rsidTr="006B2A32">
        <w:trPr>
          <w:trHeight w:val="56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涪陵区生态环境局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涪陵区居民楼油烟污染综合治理项目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对涪陵区迎宾大道国控站周边餐饮油烟排放集中的涪陵五中宿舍楼、天子苑小区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个片区开展餐饮油烟面源综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lastRenderedPageBreak/>
              <w:t>合治理，拟完成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栋楼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488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户居民直排油烟的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套油烟净化设备和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组公共烟道的加装。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lastRenderedPageBreak/>
              <w:t>390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308</w:t>
            </w:r>
          </w:p>
        </w:tc>
      </w:tr>
    </w:tbl>
    <w:p w:rsidR="007D24F9" w:rsidRDefault="007D24F9" w:rsidP="007D24F9">
      <w:pPr>
        <w:pStyle w:val="4"/>
        <w:snapToGrid w:val="0"/>
        <w:spacing w:line="240" w:lineRule="auto"/>
        <w:jc w:val="both"/>
        <w:rPr>
          <w:rStyle w:val="font241"/>
          <w:rFonts w:eastAsia="方正黑体_GBK"/>
          <w:b w:val="0"/>
          <w:bCs w:val="0"/>
          <w:color w:val="auto"/>
          <w:lang w:bidi="ar"/>
        </w:rPr>
      </w:pPr>
      <w:r>
        <w:rPr>
          <w:rFonts w:ascii="Times New Roman" w:hAnsi="Times New Roman" w:hint="eastAsia"/>
        </w:rPr>
        <w:lastRenderedPageBreak/>
        <w:br w:type="page"/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2</w:t>
      </w:r>
      <w:r>
        <w:rPr>
          <w:rFonts w:ascii="Times New Roman" w:eastAsia="方正仿宋_GBK" w:hAnsi="Times New Roman" w:cs="方正仿宋_GBK" w:hint="eastAsia"/>
          <w:b w:val="0"/>
          <w:bCs w:val="0"/>
          <w:kern w:val="0"/>
          <w:sz w:val="32"/>
          <w:szCs w:val="32"/>
          <w:lang w:bidi="ar"/>
        </w:rPr>
        <w:t>-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3</w:t>
      </w:r>
    </w:p>
    <w:p w:rsidR="007D24F9" w:rsidRDefault="007D24F9" w:rsidP="007D24F9"/>
    <w:p w:rsidR="007D24F9" w:rsidRDefault="007D24F9" w:rsidP="007D24F9">
      <w:pPr>
        <w:snapToGrid w:val="0"/>
        <w:jc w:val="center"/>
        <w:rPr>
          <w:rFonts w:eastAsia="方正小标宋_GBK" w:cs="方正小标宋_GBK"/>
          <w:kern w:val="0"/>
          <w:sz w:val="44"/>
          <w:szCs w:val="44"/>
          <w:lang w:bidi="ar"/>
        </w:rPr>
      </w:pP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2025</w:t>
      </w: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年第二批“以奖促治”资金项目法分配表</w:t>
      </w:r>
    </w:p>
    <w:p w:rsidR="007D24F9" w:rsidRDefault="007D24F9" w:rsidP="007D24F9">
      <w:pPr>
        <w:snapToGrid w:val="0"/>
        <w:jc w:val="center"/>
        <w:rPr>
          <w:rFonts w:eastAsia="方正楷体_GBK" w:cs="方正楷体_GBK"/>
          <w:szCs w:val="32"/>
        </w:rPr>
      </w:pPr>
      <w:r>
        <w:rPr>
          <w:rFonts w:eastAsia="方正楷体_GBK" w:cs="方正楷体_GBK" w:hint="eastAsia"/>
          <w:kern w:val="0"/>
          <w:szCs w:val="32"/>
          <w:lang w:bidi="ar"/>
        </w:rPr>
        <w:t>——</w:t>
      </w:r>
      <w:r>
        <w:rPr>
          <w:rFonts w:eastAsia="方正楷体_GBK" w:cs="方正楷体_GBK" w:hint="eastAsia"/>
          <w:szCs w:val="32"/>
        </w:rPr>
        <w:t>农村环境治理项目</w:t>
      </w:r>
    </w:p>
    <w:p w:rsidR="007D24F9" w:rsidRDefault="007D24F9" w:rsidP="007D24F9">
      <w:pPr>
        <w:snapToGrid w:val="0"/>
        <w:jc w:val="center"/>
        <w:rPr>
          <w:rFonts w:eastAsia="方正楷体_GBK" w:cs="方正楷体_GBK"/>
          <w:szCs w:val="32"/>
        </w:rPr>
      </w:pPr>
    </w:p>
    <w:p w:rsidR="007D24F9" w:rsidRDefault="007D24F9" w:rsidP="007D24F9">
      <w:pPr>
        <w:pStyle w:val="4"/>
        <w:wordWrap w:val="0"/>
        <w:snapToGrid w:val="0"/>
        <w:spacing w:line="240" w:lineRule="auto"/>
        <w:jc w:val="right"/>
        <w:rPr>
          <w:rFonts w:ascii="Times New Roman" w:hAnsi="Times New Roman"/>
          <w:b w:val="0"/>
          <w:bCs w:val="0"/>
        </w:rPr>
      </w:pPr>
      <w:r>
        <w:rPr>
          <w:rStyle w:val="font01"/>
          <w:rFonts w:ascii="Times New Roman" w:hAnsi="Times New Roman"/>
          <w:b w:val="0"/>
          <w:bCs w:val="0"/>
          <w:lang w:bidi="ar"/>
        </w:rPr>
        <w:t>单位：万元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1032"/>
        <w:gridCol w:w="567"/>
        <w:gridCol w:w="1417"/>
        <w:gridCol w:w="4111"/>
        <w:gridCol w:w="850"/>
        <w:gridCol w:w="993"/>
      </w:tblGrid>
      <w:tr w:rsidR="006B2A32" w:rsidTr="006B2A32">
        <w:trPr>
          <w:trHeight w:val="567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所在</w:t>
            </w:r>
            <w:r>
              <w:rPr>
                <w:rFonts w:eastAsia="方正黑体_GBK"/>
                <w:kern w:val="0"/>
                <w:sz w:val="24"/>
                <w:lang w:bidi="ar"/>
              </w:rPr>
              <w:br/>
            </w:r>
            <w:r>
              <w:rPr>
                <w:rFonts w:eastAsia="方正黑体_GBK"/>
                <w:kern w:val="0"/>
                <w:sz w:val="24"/>
                <w:lang w:bidi="ar"/>
              </w:rPr>
              <w:t>区县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项目概况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补助金额</w:t>
            </w:r>
          </w:p>
        </w:tc>
      </w:tr>
      <w:tr w:rsidR="006B2A32" w:rsidTr="006B2A32">
        <w:trPr>
          <w:trHeight w:val="567"/>
        </w:trPr>
        <w:tc>
          <w:tcPr>
            <w:tcW w:w="7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3565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2852</w:t>
            </w:r>
          </w:p>
        </w:tc>
      </w:tr>
      <w:tr w:rsidR="006B2A32" w:rsidTr="006B2A32">
        <w:trPr>
          <w:trHeight w:val="409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万盛经开区生态环境局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万盛经开区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万盛经开区青年镇堡堂村农村生活污水治理工程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建设化粪池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座，新建农村生活污水收集管网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6788m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（其中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2093m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DN200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4445m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DN50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250m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），检查井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座，资源化利用设施管道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272m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（包含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座有效容积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9m3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的调蓄池、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套潜污泵及配套阀门等）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492</w:t>
            </w:r>
          </w:p>
        </w:tc>
      </w:tr>
      <w:tr w:rsidR="006B2A32" w:rsidTr="006B2A32">
        <w:trPr>
          <w:trHeight w:val="370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重庆市涪陵区拓源环境治理有限公司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涪陵区农村环境整治工程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设计污水处理规模为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57m3/d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；建设污水收集管网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8093m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，建设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530m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DN200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5863m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DN100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1700m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，装配式检查井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244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415</w:t>
            </w:r>
          </w:p>
        </w:tc>
      </w:tr>
      <w:tr w:rsidR="006B2A32" w:rsidTr="006B2A32">
        <w:trPr>
          <w:trHeight w:val="388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忠县</w:t>
            </w:r>
            <w:r>
              <w:rPr>
                <w:rStyle w:val="font11"/>
                <w:rFonts w:ascii="Times New Roman" w:hAnsi="Times New Roman" w:cs="Times New Roman" w:hint="eastAsia"/>
                <w:color w:val="auto"/>
                <w:sz w:val="28"/>
                <w:szCs w:val="28"/>
                <w:lang w:bidi="ar"/>
              </w:rPr>
              <w:t>生态环境局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忠县东溪镇双新村和天堑村农村生活污水综合整治项目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双新村新建污水处理站一座，规模为日处理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立方，配套一、二、三级截污管网约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4800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米；对双新村及天堑村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户居民户实施农村改厕暨户厕粪污管控，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个居民聚居地开展农村生活污水集中资源化利用。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464</w:t>
            </w:r>
          </w:p>
        </w:tc>
      </w:tr>
      <w:tr w:rsidR="006B2A32" w:rsidTr="006B2A32">
        <w:trPr>
          <w:trHeight w:val="27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云阳县生态环境局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云阳县堰坪镇堰坪村、曲溪村农村生活污水集中资源化利用项目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新建资源化利用设施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座；新建污水收集管网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5790m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主管道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3540m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DN200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入户管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2250m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；生活污水经处理后资源化利用。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371</w:t>
            </w:r>
          </w:p>
        </w:tc>
      </w:tr>
      <w:tr w:rsidR="006B2A32" w:rsidTr="006B2A32">
        <w:trPr>
          <w:trHeight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江津区生态环境局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江津区先锋镇、吴滩镇、油溪镇、石蟆镇农村生活污水治理工程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①2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座污水处理站的改扩建（技改），先锋镇金紫村污水处理站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扩建至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，石蟆镇稿子村污水处理站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扩建至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150m3/d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，均采用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A2O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工艺；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②10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个居民点污水集中资源化利用，新建资源化利用设施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座，总规模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45m3/d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，采用</w:t>
            </w:r>
            <w:r>
              <w:rPr>
                <w:rFonts w:eastAsia="方正仿宋_GBK" w:hint="eastAsia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生态调控池</w:t>
            </w:r>
            <w:r>
              <w:rPr>
                <w:rFonts w:eastAsia="方正仿宋_GBK" w:hint="eastAsia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污水管网建设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19.82km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主管网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6.05km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、接户管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9.7km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、还田管网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4.07km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542</w:t>
            </w:r>
          </w:p>
        </w:tc>
      </w:tr>
      <w:tr w:rsidR="006B2A32" w:rsidTr="006B2A32">
        <w:trPr>
          <w:trHeight w:val="40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丰都县生态环境监测站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重庆市丰都县农村生活污水治理项目（燕子社区、铁炉沟村、文庙村、蜂子山村）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新建生态调控池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座，规模合计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730m3/d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，配套新建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DN300UPVC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污水主管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4413m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DN100UPVC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入户支管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4163m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DN100PE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还田干管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872m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312</w:t>
            </w:r>
          </w:p>
        </w:tc>
      </w:tr>
      <w:tr w:rsidR="006B2A32" w:rsidTr="006B2A32">
        <w:trPr>
          <w:trHeight w:val="35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武隆区长坝镇人民政府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武隆区长坝镇茶园村、简村农村污水治理项目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新建集中资源化利用预处理设施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座，设计总处理规模为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12m3/d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，配套污水收集管网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1340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米（其中：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530m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DN100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810m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），配套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DN65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资源化利用管网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1460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米；新建三格式化粪池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51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176</w:t>
            </w:r>
          </w:p>
        </w:tc>
      </w:tr>
      <w:tr w:rsidR="006B2A32" w:rsidTr="006B2A32">
        <w:trPr>
          <w:trHeight w:val="51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酉阳县黑水镇人民政府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酉阳县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酉阳县黑水镇宝剑村农村资源化利用示范项目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建设农村生活污水收集管网约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（其中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D160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），化粪池一个（有效容积约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2m3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），污水暂存池一个（有效容积约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120m3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），回用管网约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850m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（其中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DN80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450m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DN50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），解决居民生活污水散排问题，收集预处理后进行集中资源化利用。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80</w:t>
            </w:r>
          </w:p>
        </w:tc>
      </w:tr>
    </w:tbl>
    <w:p w:rsidR="007D24F9" w:rsidRDefault="007D24F9" w:rsidP="007D24F9">
      <w:pPr>
        <w:pStyle w:val="4"/>
        <w:rPr>
          <w:rFonts w:ascii="Times New Roman" w:eastAsia="方正仿宋_GBK" w:hAnsi="Times New Roman"/>
        </w:rPr>
        <w:sectPr w:rsidR="007D24F9" w:rsidSect="006B2A32">
          <w:pgSz w:w="11907" w:h="16840"/>
          <w:pgMar w:top="1701" w:right="1474" w:bottom="1701" w:left="1587" w:header="851" w:footer="1134" w:gutter="0"/>
          <w:cols w:space="720"/>
          <w:docGrid w:type="linesAndChars" w:linePitch="589" w:charSpace="-842"/>
        </w:sectPr>
      </w:pPr>
    </w:p>
    <w:p w:rsidR="007D24F9" w:rsidRDefault="007D24F9" w:rsidP="007D24F9">
      <w:pPr>
        <w:pStyle w:val="4"/>
        <w:snapToGrid w:val="0"/>
        <w:spacing w:line="240" w:lineRule="auto"/>
        <w:jc w:val="both"/>
        <w:rPr>
          <w:rStyle w:val="font241"/>
          <w:rFonts w:eastAsia="方正黑体_GBK"/>
          <w:b w:val="0"/>
          <w:bCs w:val="0"/>
          <w:color w:val="auto"/>
          <w:lang w:bidi="ar"/>
        </w:rPr>
      </w:pP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2-4</w:t>
      </w:r>
    </w:p>
    <w:p w:rsidR="007D24F9" w:rsidRDefault="007D24F9" w:rsidP="007D24F9"/>
    <w:p w:rsidR="007D24F9" w:rsidRDefault="007D24F9" w:rsidP="007D24F9">
      <w:pPr>
        <w:snapToGrid w:val="0"/>
        <w:jc w:val="center"/>
        <w:rPr>
          <w:rFonts w:eastAsia="方正小标宋_GBK" w:cs="方正小标宋_GBK"/>
          <w:kern w:val="0"/>
          <w:sz w:val="44"/>
          <w:szCs w:val="44"/>
          <w:lang w:bidi="ar"/>
        </w:rPr>
      </w:pP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2025</w:t>
      </w: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年第二批“以奖促治”资金项目法分配表</w:t>
      </w:r>
    </w:p>
    <w:p w:rsidR="007D24F9" w:rsidRDefault="007D24F9" w:rsidP="007D24F9">
      <w:pPr>
        <w:snapToGrid w:val="0"/>
        <w:jc w:val="center"/>
        <w:rPr>
          <w:rFonts w:eastAsia="方正楷体_GBK" w:cs="方正楷体_GBK"/>
          <w:kern w:val="0"/>
          <w:szCs w:val="32"/>
          <w:lang w:bidi="ar"/>
        </w:rPr>
      </w:pPr>
      <w:r>
        <w:rPr>
          <w:rFonts w:eastAsia="方正楷体_GBK" w:cs="方正楷体_GBK" w:hint="eastAsia"/>
          <w:kern w:val="0"/>
          <w:szCs w:val="32"/>
          <w:lang w:bidi="ar"/>
        </w:rPr>
        <w:t>——</w:t>
      </w:r>
      <w:r>
        <w:rPr>
          <w:rFonts w:eastAsia="方正楷体_GBK" w:cs="方正楷体_GBK" w:hint="eastAsia"/>
          <w:szCs w:val="32"/>
        </w:rPr>
        <w:t>环境监测能力建设项目</w:t>
      </w:r>
    </w:p>
    <w:p w:rsidR="007D24F9" w:rsidRDefault="007D24F9" w:rsidP="007D24F9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4"/>
        <w:gridCol w:w="1290"/>
        <w:gridCol w:w="1079"/>
        <w:gridCol w:w="1079"/>
        <w:gridCol w:w="1079"/>
        <w:gridCol w:w="1079"/>
        <w:gridCol w:w="1079"/>
        <w:gridCol w:w="1079"/>
        <w:gridCol w:w="1282"/>
        <w:gridCol w:w="1323"/>
        <w:gridCol w:w="1133"/>
        <w:gridCol w:w="1382"/>
      </w:tblGrid>
      <w:tr w:rsidR="007D24F9" w:rsidTr="00891504">
        <w:trPr>
          <w:trHeight w:val="780"/>
          <w:tblHeader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区县</w:t>
            </w:r>
          </w:p>
        </w:tc>
        <w:tc>
          <w:tcPr>
            <w:tcW w:w="6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应急监测能力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监测数据质量控制能力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重点流域水环境重金属污染预警能力建设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无人机辅助监测支撑“治气”试点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合计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</w:tr>
      <w:tr w:rsidR="007D24F9" w:rsidTr="00891504">
        <w:trPr>
          <w:trHeight w:val="1260"/>
          <w:tblHeader/>
          <w:jc w:val="center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便携式测油仪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25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台）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车载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ICP-MS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250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套）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实验室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ICP-MS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125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台）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原子荧光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35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台）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采样船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100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台）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小计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</w:tr>
      <w:tr w:rsidR="007D24F9" w:rsidTr="00891504">
        <w:trPr>
          <w:trHeight w:val="480"/>
          <w:jc w:val="center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2186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万州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261.8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黔江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涪陵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渝中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大渡口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江北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7.1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沙坪坝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九龙坡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8.6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南岸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31.2</w:t>
            </w:r>
          </w:p>
        </w:tc>
      </w:tr>
      <w:tr w:rsidR="007D24F9" w:rsidTr="00891504">
        <w:trPr>
          <w:trHeight w:val="54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北碚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31.2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渝北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巴南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长寿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34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江津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33.5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合川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31.9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永川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南川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綦江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72.7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大足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132.8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璧山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32.2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铜梁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56.5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潼南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84.5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荣昌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97.4</w:t>
            </w:r>
          </w:p>
        </w:tc>
      </w:tr>
      <w:tr w:rsidR="007D24F9" w:rsidTr="00891504">
        <w:trPr>
          <w:trHeight w:val="60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开州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梁平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30.8</w:t>
            </w:r>
          </w:p>
        </w:tc>
      </w:tr>
      <w:tr w:rsidR="007D24F9" w:rsidTr="00891504">
        <w:trPr>
          <w:trHeight w:val="42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武隆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城口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112.3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丰都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垫江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23.4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忠县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云阳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奉节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lastRenderedPageBreak/>
              <w:t>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巫山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130.3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巫溪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29.8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石柱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219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秀山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246.8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酉阳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182.3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彭水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5.1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万盛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30.1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F773F4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大足区</w:t>
            </w:r>
            <w:r w:rsidR="007A1AD4">
              <w:rPr>
                <w:rFonts w:eastAsia="方正仿宋_GBK" w:cs="方正仿宋_GBK" w:hint="eastAsia"/>
                <w:kern w:val="0"/>
                <w:sz w:val="24"/>
                <w:lang w:bidi="ar"/>
              </w:rPr>
              <w:t>（双桥</w:t>
            </w:r>
            <w:r w:rsidR="007A1AD4">
              <w:rPr>
                <w:rFonts w:eastAsia="方正仿宋_GBK" w:cs="方正仿宋_GBK"/>
                <w:kern w:val="0"/>
                <w:sz w:val="24"/>
                <w:lang w:bidi="ar"/>
              </w:rPr>
              <w:t>经开区</w:t>
            </w:r>
            <w:r w:rsidR="007A1AD4">
              <w:rPr>
                <w:rFonts w:eastAsia="方正仿宋_GBK" w:cs="方正仿宋_GBK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4.4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29.4</w:t>
            </w:r>
          </w:p>
        </w:tc>
      </w:tr>
    </w:tbl>
    <w:p w:rsidR="00B95F15" w:rsidRDefault="00AB0C25"/>
    <w:sectPr w:rsidR="00B95F15" w:rsidSect="007D24F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25" w:rsidRDefault="00AB0C25" w:rsidP="007D24F9">
      <w:r>
        <w:separator/>
      </w:r>
    </w:p>
  </w:endnote>
  <w:endnote w:type="continuationSeparator" w:id="0">
    <w:p w:rsidR="00AB0C25" w:rsidRDefault="00AB0C25" w:rsidP="007D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25" w:rsidRDefault="00AB0C25" w:rsidP="007D24F9">
      <w:r>
        <w:separator/>
      </w:r>
    </w:p>
  </w:footnote>
  <w:footnote w:type="continuationSeparator" w:id="0">
    <w:p w:rsidR="00AB0C25" w:rsidRDefault="00AB0C25" w:rsidP="007D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58"/>
  <w:drawingGridVerticalSpacing w:val="5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8"/>
    <w:rsid w:val="00011FD8"/>
    <w:rsid w:val="00043ED5"/>
    <w:rsid w:val="004B28E0"/>
    <w:rsid w:val="006B2A32"/>
    <w:rsid w:val="007A1AD4"/>
    <w:rsid w:val="007A1CBE"/>
    <w:rsid w:val="007D24F9"/>
    <w:rsid w:val="00A10825"/>
    <w:rsid w:val="00AB0C25"/>
    <w:rsid w:val="00B10041"/>
    <w:rsid w:val="00DF0569"/>
    <w:rsid w:val="00F773F4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C79B51-8A1B-413A-B330-6D10CD3D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24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4">
    <w:name w:val="heading 4"/>
    <w:basedOn w:val="2"/>
    <w:next w:val="a"/>
    <w:link w:val="4Char"/>
    <w:qFormat/>
    <w:rsid w:val="007D24F9"/>
    <w:pPr>
      <w:spacing w:before="0" w:after="0" w:line="360" w:lineRule="auto"/>
      <w:jc w:val="center"/>
      <w:outlineLvl w:val="3"/>
    </w:pPr>
    <w:rPr>
      <w:rFonts w:ascii="Cambria" w:eastAsia="仿宋_GB2312" w:hAnsi="Cambria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4F9"/>
    <w:rPr>
      <w:sz w:val="18"/>
      <w:szCs w:val="18"/>
    </w:rPr>
  </w:style>
  <w:style w:type="paragraph" w:styleId="a4">
    <w:name w:val="footer"/>
    <w:basedOn w:val="a"/>
    <w:link w:val="Char0"/>
    <w:unhideWhenUsed/>
    <w:rsid w:val="007D2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4F9"/>
    <w:rPr>
      <w:sz w:val="18"/>
      <w:szCs w:val="18"/>
    </w:rPr>
  </w:style>
  <w:style w:type="character" w:customStyle="1" w:styleId="4Char">
    <w:name w:val="标题 4 Char"/>
    <w:basedOn w:val="a0"/>
    <w:link w:val="4"/>
    <w:rsid w:val="007D24F9"/>
    <w:rPr>
      <w:rFonts w:ascii="Cambria" w:eastAsia="仿宋_GB2312" w:hAnsi="Cambria" w:cs="Times New Roman"/>
      <w:b/>
      <w:bCs/>
      <w:sz w:val="28"/>
      <w:szCs w:val="28"/>
    </w:rPr>
  </w:style>
  <w:style w:type="character" w:customStyle="1" w:styleId="font171">
    <w:name w:val="font171"/>
    <w:qFormat/>
    <w:rsid w:val="007D24F9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sid w:val="007D24F9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241">
    <w:name w:val="font241"/>
    <w:qFormat/>
    <w:rsid w:val="007D24F9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01">
    <w:name w:val="font01"/>
    <w:qFormat/>
    <w:rsid w:val="007D24F9"/>
    <w:rPr>
      <w:rFonts w:ascii="方正楷体_GBK" w:eastAsia="方正楷体_GBK" w:hAnsi="方正楷体_GBK" w:cs="方正楷体_GBK"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sid w:val="007D24F9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51">
    <w:name w:val="font151"/>
    <w:qFormat/>
    <w:rsid w:val="007D24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7D24F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彭颖:校对</cp:lastModifiedBy>
  <cp:revision>7</cp:revision>
  <dcterms:created xsi:type="dcterms:W3CDTF">2025-07-06T04:24:00Z</dcterms:created>
  <dcterms:modified xsi:type="dcterms:W3CDTF">2025-08-05T06:32:00Z</dcterms:modified>
</cp:coreProperties>
</file>