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746" w:rsidRDefault="009F4746" w:rsidP="009F4746">
      <w:pPr>
        <w:spacing w:line="578" w:lineRule="exact"/>
        <w:ind w:firstLineChars="200" w:firstLine="640"/>
      </w:pPr>
    </w:p>
    <w:p w:rsidR="00AF7748" w:rsidRPr="00B01562" w:rsidRDefault="00AF7748" w:rsidP="00AF7748">
      <w:pPr>
        <w:spacing w:line="578" w:lineRule="exact"/>
        <w:jc w:val="center"/>
        <w:rPr>
          <w:rFonts w:eastAsia="方正小标宋_GBK" w:hint="eastAsia"/>
          <w:sz w:val="44"/>
          <w:szCs w:val="44"/>
        </w:rPr>
      </w:pPr>
      <w:r w:rsidRPr="00B01562">
        <w:rPr>
          <w:rFonts w:eastAsia="方正小标宋_GBK" w:hint="eastAsia"/>
          <w:sz w:val="44"/>
          <w:szCs w:val="44"/>
        </w:rPr>
        <w:t>重庆市财政局</w:t>
      </w:r>
      <w:r>
        <w:rPr>
          <w:rFonts w:eastAsia="方正小标宋_GBK" w:hint="eastAsia"/>
          <w:sz w:val="44"/>
          <w:szCs w:val="44"/>
        </w:rPr>
        <w:t xml:space="preserve"> </w:t>
      </w:r>
      <w:r w:rsidRPr="00B01562">
        <w:rPr>
          <w:rFonts w:eastAsia="方正小标宋_GBK" w:hint="eastAsia"/>
          <w:sz w:val="44"/>
          <w:szCs w:val="44"/>
        </w:rPr>
        <w:t>重庆市科学技术局</w:t>
      </w:r>
    </w:p>
    <w:p w:rsidR="00AF7748" w:rsidRPr="00B01562" w:rsidRDefault="00AF7748" w:rsidP="00AF7748">
      <w:pPr>
        <w:spacing w:line="578" w:lineRule="exact"/>
        <w:jc w:val="center"/>
        <w:rPr>
          <w:rFonts w:eastAsia="方正小标宋_GBK"/>
          <w:sz w:val="44"/>
          <w:szCs w:val="44"/>
        </w:rPr>
      </w:pPr>
      <w:r w:rsidRPr="00B01562">
        <w:rPr>
          <w:rFonts w:eastAsia="方正小标宋_GBK" w:hint="eastAsia"/>
          <w:sz w:val="44"/>
          <w:szCs w:val="44"/>
        </w:rPr>
        <w:t>关于印发《重庆市中央引导地方科技发展资金</w:t>
      </w:r>
    </w:p>
    <w:p w:rsidR="00AF7748" w:rsidRDefault="00AF7748" w:rsidP="00AF7748">
      <w:pPr>
        <w:spacing w:line="578" w:lineRule="exact"/>
        <w:jc w:val="center"/>
        <w:rPr>
          <w:rFonts w:eastAsia="方正小标宋_GBK"/>
          <w:sz w:val="44"/>
          <w:szCs w:val="44"/>
        </w:rPr>
      </w:pPr>
      <w:r w:rsidRPr="00B01562">
        <w:rPr>
          <w:rFonts w:eastAsia="方正小标宋_GBK" w:hint="eastAsia"/>
          <w:sz w:val="44"/>
          <w:szCs w:val="44"/>
        </w:rPr>
        <w:t>管理实施细则》的通知</w:t>
      </w:r>
    </w:p>
    <w:p w:rsidR="00AF7748" w:rsidRPr="00AF7748" w:rsidRDefault="00AF7748" w:rsidP="00AF7748">
      <w:pPr>
        <w:pStyle w:val="a0"/>
        <w:jc w:val="center"/>
        <w:rPr>
          <w:rFonts w:ascii="楷体" w:eastAsia="楷体" w:hAnsi="楷体" w:hint="eastAsia"/>
        </w:rPr>
      </w:pPr>
      <w:bookmarkStart w:id="0" w:name="_GoBack"/>
      <w:r w:rsidRPr="00AF7748">
        <w:rPr>
          <w:rFonts w:ascii="楷体" w:eastAsia="楷体" w:hAnsi="楷体" w:hint="eastAsia"/>
        </w:rPr>
        <w:t>渝财教〔2025〕19号</w:t>
      </w:r>
    </w:p>
    <w:bookmarkEnd w:id="0"/>
    <w:p w:rsidR="00AF7748" w:rsidRPr="00B01562" w:rsidRDefault="00AF7748" w:rsidP="00AF7748">
      <w:pPr>
        <w:spacing w:line="578" w:lineRule="exact"/>
      </w:pPr>
    </w:p>
    <w:p w:rsidR="00AF7748" w:rsidRPr="00B01562" w:rsidRDefault="00AF7748" w:rsidP="00AF7748">
      <w:pPr>
        <w:spacing w:line="578" w:lineRule="exact"/>
      </w:pPr>
      <w:r w:rsidRPr="00B01562">
        <w:rPr>
          <w:rFonts w:hint="eastAsia"/>
        </w:rPr>
        <w:t>各区县（自治县）财政局、</w:t>
      </w:r>
      <w:r w:rsidRPr="00B01562">
        <w:t>科技局</w:t>
      </w:r>
      <w:r w:rsidRPr="00B01562">
        <w:rPr>
          <w:rFonts w:hint="eastAsia"/>
        </w:rPr>
        <w:t>，两江新区、西部科学城重庆高新区财政局、</w:t>
      </w:r>
      <w:r w:rsidRPr="00B01562">
        <w:t>科创局</w:t>
      </w:r>
      <w:r w:rsidRPr="00B01562">
        <w:rPr>
          <w:rFonts w:hint="eastAsia"/>
        </w:rPr>
        <w:t>，万盛经开区财政局、</w:t>
      </w:r>
      <w:r w:rsidRPr="00B01562">
        <w:t>科技局，</w:t>
      </w:r>
      <w:r w:rsidRPr="00B01562">
        <w:rPr>
          <w:rFonts w:hint="eastAsia"/>
        </w:rPr>
        <w:t>有关单位：</w:t>
      </w:r>
    </w:p>
    <w:p w:rsidR="00AF7748" w:rsidRPr="00B01562" w:rsidRDefault="00AF7748" w:rsidP="00AF7748">
      <w:pPr>
        <w:spacing w:line="578" w:lineRule="exact"/>
        <w:ind w:firstLineChars="200" w:firstLine="640"/>
      </w:pPr>
      <w:r w:rsidRPr="00B01562">
        <w:rPr>
          <w:rFonts w:hint="eastAsia"/>
        </w:rPr>
        <w:t>为贯彻</w:t>
      </w:r>
      <w:r w:rsidRPr="00B01562">
        <w:t>落实</w:t>
      </w:r>
      <w:r w:rsidRPr="00B01562">
        <w:rPr>
          <w:rFonts w:hint="eastAsia"/>
        </w:rPr>
        <w:t>市委</w:t>
      </w:r>
      <w:r w:rsidRPr="00B01562">
        <w:t>、市政府关于科技创新的重大决策</w:t>
      </w:r>
      <w:r w:rsidRPr="00B01562">
        <w:rPr>
          <w:rFonts w:hint="eastAsia"/>
        </w:rPr>
        <w:t>部署</w:t>
      </w:r>
      <w:r w:rsidRPr="00B01562">
        <w:t>，</w:t>
      </w:r>
      <w:r w:rsidRPr="00B01562">
        <w:rPr>
          <w:rFonts w:hint="eastAsia"/>
        </w:rPr>
        <w:t>进一步规范中央引导地方科技发展资金管理，提高引导资金使用绩效，根据《中华人民共和国预算法》及其实施条例、《中央引导地方科技发展资金管理办法》（财教〔</w:t>
      </w:r>
      <w:r w:rsidRPr="00B01562">
        <w:t>2023</w:t>
      </w:r>
      <w:r w:rsidRPr="00B01562">
        <w:rPr>
          <w:rFonts w:hint="eastAsia"/>
        </w:rPr>
        <w:t>〕</w:t>
      </w:r>
      <w:r w:rsidRPr="00B01562">
        <w:t>276</w:t>
      </w:r>
      <w:r w:rsidRPr="00B01562">
        <w:rPr>
          <w:rFonts w:hint="eastAsia"/>
        </w:rPr>
        <w:t>号）、《重庆市人民政府办公厅印发关于改革完善市级财政科研经费管理若干措施的通知》（渝府办发〔</w:t>
      </w:r>
      <w:r w:rsidRPr="00B01562">
        <w:rPr>
          <w:rFonts w:hint="eastAsia"/>
        </w:rPr>
        <w:t>2022</w:t>
      </w:r>
      <w:r w:rsidRPr="00B01562">
        <w:rPr>
          <w:rFonts w:hint="eastAsia"/>
        </w:rPr>
        <w:t>〕</w:t>
      </w:r>
      <w:r w:rsidRPr="00B01562">
        <w:rPr>
          <w:rFonts w:hint="eastAsia"/>
        </w:rPr>
        <w:t>95</w:t>
      </w:r>
      <w:r w:rsidRPr="00B01562">
        <w:rPr>
          <w:rFonts w:hint="eastAsia"/>
        </w:rPr>
        <w:t>号）等有关规定，并结合我市实际，我们制定了《</w:t>
      </w:r>
      <w:r w:rsidRPr="00B01562">
        <w:t>重庆市中央引导地方科技发展资金管理实施细则</w:t>
      </w:r>
      <w:r w:rsidRPr="00B01562">
        <w:rPr>
          <w:rFonts w:hint="eastAsia"/>
        </w:rPr>
        <w:t>》，现印发给你们，请遵照执行。</w:t>
      </w:r>
    </w:p>
    <w:p w:rsidR="00AF7748" w:rsidRPr="00B01562" w:rsidRDefault="00AF7748" w:rsidP="00AF7748">
      <w:pPr>
        <w:spacing w:line="578" w:lineRule="exact"/>
        <w:ind w:firstLineChars="200" w:firstLine="640"/>
      </w:pPr>
    </w:p>
    <w:p w:rsidR="00AF7748" w:rsidRPr="00B01562" w:rsidRDefault="00AF7748" w:rsidP="00AF7748">
      <w:pPr>
        <w:spacing w:line="578" w:lineRule="exact"/>
        <w:ind w:firstLineChars="200" w:firstLine="640"/>
      </w:pPr>
      <w:r w:rsidRPr="00B01562">
        <w:rPr>
          <w:rFonts w:hint="eastAsia"/>
        </w:rPr>
        <w:t>附件：</w:t>
      </w:r>
      <w:r w:rsidRPr="00B01562">
        <w:rPr>
          <w:rFonts w:hint="eastAsia"/>
        </w:rPr>
        <w:t>1.</w:t>
      </w:r>
      <w:r w:rsidRPr="00B01562">
        <w:t>重庆市中央引导地方科技发展资金管理实施细则</w:t>
      </w:r>
    </w:p>
    <w:p w:rsidR="00AF7748" w:rsidRPr="00B01562" w:rsidRDefault="00AF7748" w:rsidP="00AF7748">
      <w:pPr>
        <w:spacing w:line="578" w:lineRule="exact"/>
        <w:ind w:firstLineChars="200" w:firstLine="640"/>
      </w:pPr>
      <w:r w:rsidRPr="00B01562">
        <w:rPr>
          <w:rFonts w:hint="eastAsia"/>
        </w:rPr>
        <w:t xml:space="preserve">      2.2025</w:t>
      </w:r>
      <w:r w:rsidRPr="00B01562">
        <w:rPr>
          <w:rFonts w:hint="eastAsia"/>
        </w:rPr>
        <w:t>年度重庆市中央引导地方科技发展资金支持</w:t>
      </w:r>
    </w:p>
    <w:p w:rsidR="00AF7748" w:rsidRPr="00B01562" w:rsidRDefault="00AF7748" w:rsidP="00AF7748">
      <w:pPr>
        <w:spacing w:line="578" w:lineRule="exact"/>
        <w:ind w:firstLineChars="573" w:firstLine="1834"/>
      </w:pPr>
      <w:r w:rsidRPr="00B01562">
        <w:rPr>
          <w:rFonts w:hint="eastAsia"/>
        </w:rPr>
        <w:t>白名单</w:t>
      </w:r>
    </w:p>
    <w:p w:rsidR="00AF7748" w:rsidRPr="00B01562" w:rsidRDefault="00AF7748" w:rsidP="00AF7748">
      <w:pPr>
        <w:spacing w:line="578" w:lineRule="exact"/>
        <w:ind w:firstLineChars="200" w:firstLine="640"/>
      </w:pPr>
    </w:p>
    <w:p w:rsidR="00AF7748" w:rsidRPr="00B01562" w:rsidRDefault="00AF7748" w:rsidP="00AF7748">
      <w:pPr>
        <w:spacing w:line="578" w:lineRule="exact"/>
      </w:pPr>
    </w:p>
    <w:p w:rsidR="00AF7748" w:rsidRPr="00B01562" w:rsidRDefault="00AF7748" w:rsidP="00AF7748">
      <w:pPr>
        <w:spacing w:line="578" w:lineRule="exact"/>
      </w:pPr>
    </w:p>
    <w:p w:rsidR="00AF7748" w:rsidRPr="00B01562" w:rsidRDefault="00AF7748" w:rsidP="00AF7748">
      <w:pPr>
        <w:spacing w:line="578" w:lineRule="exact"/>
        <w:jc w:val="center"/>
      </w:pPr>
      <w:r w:rsidRPr="00B01562">
        <w:rPr>
          <w:rFonts w:hint="eastAsia"/>
        </w:rPr>
        <w:t>重庆市</w:t>
      </w:r>
      <w:r w:rsidRPr="00B01562">
        <w:t>财政局</w:t>
      </w:r>
      <w:r w:rsidRPr="00B01562">
        <w:rPr>
          <w:rFonts w:hint="eastAsia"/>
        </w:rPr>
        <w:t xml:space="preserve">    </w:t>
      </w:r>
      <w:r w:rsidRPr="00B01562">
        <w:t xml:space="preserve">    </w:t>
      </w:r>
      <w:r>
        <w:t xml:space="preserve"> </w:t>
      </w:r>
      <w:r w:rsidRPr="00B01562">
        <w:t xml:space="preserve">     </w:t>
      </w:r>
      <w:r w:rsidRPr="00B01562">
        <w:rPr>
          <w:rFonts w:hint="eastAsia"/>
        </w:rPr>
        <w:t xml:space="preserve"> </w:t>
      </w:r>
      <w:r w:rsidRPr="00512BA5">
        <w:rPr>
          <w:rFonts w:hint="eastAsia"/>
        </w:rPr>
        <w:t>重庆市科学技术局</w:t>
      </w:r>
    </w:p>
    <w:p w:rsidR="00AF7748" w:rsidRPr="00B01562" w:rsidRDefault="00AF7748" w:rsidP="00AF7748">
      <w:pPr>
        <w:spacing w:line="578" w:lineRule="exact"/>
        <w:ind w:firstLineChars="1693" w:firstLine="5418"/>
      </w:pPr>
      <w:r w:rsidRPr="00B01562">
        <w:rPr>
          <w:rFonts w:hint="eastAsia"/>
        </w:rPr>
        <w:t>20</w:t>
      </w:r>
      <w:r w:rsidRPr="00B01562">
        <w:t>25</w:t>
      </w:r>
      <w:r w:rsidRPr="00B01562">
        <w:rPr>
          <w:rFonts w:hint="eastAsia"/>
        </w:rPr>
        <w:t>年</w:t>
      </w:r>
      <w:r w:rsidRPr="00B01562">
        <w:t>5</w:t>
      </w:r>
      <w:r w:rsidRPr="00B01562">
        <w:rPr>
          <w:rFonts w:hint="eastAsia"/>
        </w:rPr>
        <w:t>月</w:t>
      </w:r>
      <w:r w:rsidRPr="00B01562">
        <w:t>7</w:t>
      </w:r>
      <w:r w:rsidRPr="00B01562">
        <w:rPr>
          <w:rFonts w:hint="eastAsia"/>
        </w:rPr>
        <w:t>日</w:t>
      </w:r>
    </w:p>
    <w:p w:rsidR="00AF7748" w:rsidRPr="00AF7748" w:rsidRDefault="00AF7748" w:rsidP="00AF7748">
      <w:pPr>
        <w:spacing w:line="578" w:lineRule="exact"/>
        <w:ind w:firstLineChars="200" w:firstLine="640"/>
        <w:rPr>
          <w:rFonts w:hint="eastAsia"/>
        </w:rPr>
      </w:pPr>
      <w:r w:rsidRPr="00B01562">
        <w:rPr>
          <w:rFonts w:hint="eastAsia"/>
        </w:rPr>
        <w:t>（此件主动公开</w:t>
      </w:r>
      <w:r w:rsidRPr="00B01562">
        <w:t>）</w:t>
      </w:r>
    </w:p>
    <w:sectPr w:rsidR="00AF7748" w:rsidRPr="00AF7748"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EE8" w:rsidRDefault="00460EE8">
      <w:pPr>
        <w:spacing w:line="240" w:lineRule="auto"/>
      </w:pPr>
      <w:r>
        <w:separator/>
      </w:r>
    </w:p>
  </w:endnote>
  <w:endnote w:type="continuationSeparator" w:id="0">
    <w:p w:rsidR="00460EE8" w:rsidRDefault="00460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966082D2-091F-44E9-86FB-7FC2BCC9E12E}"/>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EA62643A-0D85-46A1-BAEA-7913B8D67CC6}"/>
  </w:font>
  <w:font w:name="楷体">
    <w:charset w:val="86"/>
    <w:family w:val="modern"/>
    <w:pitch w:val="fixed"/>
    <w:sig w:usb0="800002BF" w:usb1="38CF7CFA" w:usb2="00000016" w:usb3="00000000" w:csb0="00040001" w:csb1="00000000"/>
    <w:embedRegular r:id="rId3" w:subsetted="1" w:fontKey="{0BD2C7A0-57B3-4065-B757-9E15308F48D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774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774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EE8" w:rsidRDefault="00460EE8">
      <w:pPr>
        <w:spacing w:line="240" w:lineRule="auto"/>
      </w:pPr>
      <w:r>
        <w:separator/>
      </w:r>
    </w:p>
  </w:footnote>
  <w:footnote w:type="continuationSeparator" w:id="0">
    <w:p w:rsidR="00460EE8" w:rsidRDefault="00460E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84F83"/>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A1829"/>
    <w:rsid w:val="003B6C8A"/>
    <w:rsid w:val="003C01A4"/>
    <w:rsid w:val="003D4C0E"/>
    <w:rsid w:val="003D5B47"/>
    <w:rsid w:val="003E1D20"/>
    <w:rsid w:val="003E4E1E"/>
    <w:rsid w:val="003F3555"/>
    <w:rsid w:val="003F49A8"/>
    <w:rsid w:val="004073C4"/>
    <w:rsid w:val="00434575"/>
    <w:rsid w:val="00437936"/>
    <w:rsid w:val="00442EA3"/>
    <w:rsid w:val="00460EE8"/>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6704"/>
    <w:rsid w:val="005D0DB0"/>
    <w:rsid w:val="005E0EF8"/>
    <w:rsid w:val="005E2BCD"/>
    <w:rsid w:val="005E308C"/>
    <w:rsid w:val="00610F2D"/>
    <w:rsid w:val="00621C64"/>
    <w:rsid w:val="006228D4"/>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2524E"/>
    <w:rsid w:val="007502C3"/>
    <w:rsid w:val="00754348"/>
    <w:rsid w:val="00757A08"/>
    <w:rsid w:val="007875AA"/>
    <w:rsid w:val="00796AED"/>
    <w:rsid w:val="007A0922"/>
    <w:rsid w:val="007A549F"/>
    <w:rsid w:val="007B7A74"/>
    <w:rsid w:val="007C7487"/>
    <w:rsid w:val="007C7D94"/>
    <w:rsid w:val="007D7601"/>
    <w:rsid w:val="007E0D2E"/>
    <w:rsid w:val="007E186E"/>
    <w:rsid w:val="007F6458"/>
    <w:rsid w:val="00805624"/>
    <w:rsid w:val="00813A27"/>
    <w:rsid w:val="008240CA"/>
    <w:rsid w:val="008305EC"/>
    <w:rsid w:val="00844EE4"/>
    <w:rsid w:val="00850C21"/>
    <w:rsid w:val="0085102D"/>
    <w:rsid w:val="008563ED"/>
    <w:rsid w:val="008605AF"/>
    <w:rsid w:val="0087313F"/>
    <w:rsid w:val="00874DBA"/>
    <w:rsid w:val="0087698F"/>
    <w:rsid w:val="00886DFF"/>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4746"/>
    <w:rsid w:val="009F7988"/>
    <w:rsid w:val="00A0470C"/>
    <w:rsid w:val="00A07624"/>
    <w:rsid w:val="00A25A38"/>
    <w:rsid w:val="00A2600B"/>
    <w:rsid w:val="00A33013"/>
    <w:rsid w:val="00A34887"/>
    <w:rsid w:val="00A40D9D"/>
    <w:rsid w:val="00A43229"/>
    <w:rsid w:val="00A446D2"/>
    <w:rsid w:val="00A66BCB"/>
    <w:rsid w:val="00A860D2"/>
    <w:rsid w:val="00A92DD2"/>
    <w:rsid w:val="00A930AF"/>
    <w:rsid w:val="00AA04BF"/>
    <w:rsid w:val="00AA0CAE"/>
    <w:rsid w:val="00AB1CDC"/>
    <w:rsid w:val="00AE0386"/>
    <w:rsid w:val="00AE1E95"/>
    <w:rsid w:val="00AF7748"/>
    <w:rsid w:val="00B00990"/>
    <w:rsid w:val="00B10F6A"/>
    <w:rsid w:val="00B263C3"/>
    <w:rsid w:val="00B4705A"/>
    <w:rsid w:val="00B570F0"/>
    <w:rsid w:val="00B60234"/>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0ED51"/>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2025-05-30T04:01:00Z</dcterms:created>
  <dcterms:modified xsi:type="dcterms:W3CDTF">2025-05-30T04:01:00Z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