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59" w:rsidRDefault="008A4059" w:rsidP="007C7D94"/>
    <w:p w:rsidR="007C7D94" w:rsidRPr="00DC798A" w:rsidRDefault="007C7D94" w:rsidP="007C7D94">
      <w:pPr>
        <w:spacing w:line="578" w:lineRule="exact"/>
        <w:jc w:val="center"/>
        <w:rPr>
          <w:rFonts w:eastAsia="方正小标宋_GBK"/>
          <w:sz w:val="44"/>
          <w:szCs w:val="44"/>
        </w:rPr>
      </w:pPr>
      <w:r w:rsidRPr="00DC798A">
        <w:rPr>
          <w:rFonts w:eastAsia="方正小标宋_GBK" w:hint="eastAsia"/>
          <w:sz w:val="44"/>
          <w:szCs w:val="44"/>
        </w:rPr>
        <w:t>重庆市</w:t>
      </w:r>
      <w:r w:rsidRPr="00DC798A">
        <w:rPr>
          <w:rFonts w:eastAsia="方正小标宋_GBK"/>
          <w:sz w:val="44"/>
          <w:szCs w:val="44"/>
        </w:rPr>
        <w:t>财政局</w:t>
      </w:r>
      <w:r w:rsidRPr="00DC798A">
        <w:rPr>
          <w:rFonts w:eastAsia="方正小标宋_GBK" w:hint="eastAsia"/>
          <w:sz w:val="44"/>
          <w:szCs w:val="44"/>
        </w:rPr>
        <w:t>关于</w:t>
      </w:r>
    </w:p>
    <w:p w:rsidR="007C7D94" w:rsidRPr="00DC798A" w:rsidRDefault="007C7D94" w:rsidP="007C7D94">
      <w:pPr>
        <w:spacing w:line="578" w:lineRule="exact"/>
        <w:jc w:val="center"/>
        <w:rPr>
          <w:rFonts w:eastAsia="方正小标宋_GBK"/>
          <w:sz w:val="44"/>
          <w:szCs w:val="44"/>
        </w:rPr>
      </w:pPr>
      <w:r w:rsidRPr="00DC798A">
        <w:rPr>
          <w:rFonts w:eastAsia="方正小标宋_GBK" w:hint="eastAsia"/>
          <w:sz w:val="44"/>
          <w:szCs w:val="44"/>
        </w:rPr>
        <w:t>下达</w:t>
      </w:r>
      <w:r w:rsidRPr="00DC798A">
        <w:rPr>
          <w:rFonts w:eastAsia="方正小标宋_GBK" w:hint="eastAsia"/>
          <w:sz w:val="44"/>
          <w:szCs w:val="44"/>
        </w:rPr>
        <w:t>2025</w:t>
      </w:r>
      <w:r w:rsidRPr="00DC798A">
        <w:rPr>
          <w:rFonts w:eastAsia="方正小标宋_GBK" w:hint="eastAsia"/>
          <w:sz w:val="44"/>
          <w:szCs w:val="44"/>
        </w:rPr>
        <w:t>年</w:t>
      </w:r>
      <w:r w:rsidRPr="00DC798A">
        <w:rPr>
          <w:rFonts w:eastAsia="方正小标宋_GBK"/>
          <w:sz w:val="44"/>
          <w:szCs w:val="44"/>
        </w:rPr>
        <w:t>县域充换电设施补短板试点县</w:t>
      </w:r>
    </w:p>
    <w:p w:rsidR="007C7D94" w:rsidRDefault="007C7D94" w:rsidP="007C7D94">
      <w:pPr>
        <w:spacing w:line="578" w:lineRule="exact"/>
        <w:jc w:val="center"/>
        <w:rPr>
          <w:rFonts w:eastAsia="方正小标宋_GBK"/>
          <w:sz w:val="44"/>
          <w:szCs w:val="44"/>
        </w:rPr>
      </w:pPr>
      <w:r w:rsidRPr="00DC798A">
        <w:rPr>
          <w:rFonts w:eastAsia="方正小标宋_GBK"/>
          <w:sz w:val="44"/>
          <w:szCs w:val="44"/>
        </w:rPr>
        <w:t>预拨奖励资金的通知</w:t>
      </w:r>
    </w:p>
    <w:p w:rsidR="007C7D94" w:rsidRPr="007C7D94" w:rsidRDefault="007C7D94" w:rsidP="007C7D94">
      <w:pPr>
        <w:pStyle w:val="a0"/>
        <w:jc w:val="center"/>
        <w:rPr>
          <w:rFonts w:ascii="楷体" w:eastAsia="楷体" w:hAnsi="楷体" w:hint="eastAsia"/>
        </w:rPr>
      </w:pPr>
      <w:bookmarkStart w:id="0" w:name="_GoBack"/>
      <w:r w:rsidRPr="007C7D94">
        <w:rPr>
          <w:rFonts w:ascii="楷体" w:eastAsia="楷体" w:hAnsi="楷体" w:hint="eastAsia"/>
        </w:rPr>
        <w:t>渝财产业〔2025〕51号</w:t>
      </w:r>
    </w:p>
    <w:bookmarkEnd w:id="0"/>
    <w:p w:rsidR="007C7D94" w:rsidRPr="00DC798A" w:rsidRDefault="007C7D94" w:rsidP="007C7D94">
      <w:pPr>
        <w:spacing w:line="578" w:lineRule="exact"/>
        <w:ind w:firstLineChars="200" w:firstLine="640"/>
      </w:pPr>
    </w:p>
    <w:p w:rsidR="007C7D94" w:rsidRPr="00DC798A" w:rsidRDefault="007C7D94" w:rsidP="007C7D94">
      <w:pPr>
        <w:spacing w:line="578" w:lineRule="exact"/>
      </w:pPr>
      <w:r w:rsidRPr="00DC798A">
        <w:rPr>
          <w:rFonts w:hint="eastAsia"/>
        </w:rPr>
        <w:t>丰都县财政局、</w:t>
      </w:r>
      <w:r w:rsidRPr="00DC798A">
        <w:t>垫江县</w:t>
      </w:r>
      <w:r w:rsidRPr="00DC798A">
        <w:rPr>
          <w:rFonts w:hint="eastAsia"/>
        </w:rPr>
        <w:t>财政局</w:t>
      </w:r>
      <w:r w:rsidRPr="00DC798A">
        <w:t>：</w:t>
      </w:r>
    </w:p>
    <w:p w:rsidR="007C7D94" w:rsidRPr="00DC798A" w:rsidRDefault="007C7D94" w:rsidP="007C7D94">
      <w:pPr>
        <w:spacing w:line="578" w:lineRule="exact"/>
        <w:ind w:firstLineChars="200" w:firstLine="640"/>
      </w:pPr>
      <w:r w:rsidRPr="00DC798A">
        <w:rPr>
          <w:rFonts w:hint="eastAsia"/>
        </w:rPr>
        <w:t>根据《财政部</w:t>
      </w:r>
      <w:r w:rsidRPr="00DC798A">
        <w:t>关于下达</w:t>
      </w:r>
      <w:r w:rsidRPr="00DC798A">
        <w:rPr>
          <w:rFonts w:hint="eastAsia"/>
        </w:rPr>
        <w:t>2025</w:t>
      </w:r>
      <w:r w:rsidRPr="00DC798A">
        <w:rPr>
          <w:rFonts w:hint="eastAsia"/>
        </w:rPr>
        <w:t>年</w:t>
      </w:r>
      <w:r w:rsidRPr="00DC798A">
        <w:t>节能减排</w:t>
      </w:r>
      <w:r w:rsidRPr="00DC798A">
        <w:rPr>
          <w:rFonts w:hint="eastAsia"/>
        </w:rPr>
        <w:t>补助</w:t>
      </w:r>
      <w:r w:rsidRPr="00DC798A">
        <w:t>资金预算（</w:t>
      </w:r>
      <w:r w:rsidRPr="00DC798A">
        <w:rPr>
          <w:rFonts w:hint="eastAsia"/>
        </w:rPr>
        <w:t>第一批</w:t>
      </w:r>
      <w:r w:rsidRPr="00DC798A">
        <w:t>）</w:t>
      </w:r>
      <w:r w:rsidRPr="00DC798A">
        <w:rPr>
          <w:rFonts w:hint="eastAsia"/>
        </w:rPr>
        <w:t>的</w:t>
      </w:r>
      <w:r w:rsidRPr="00DC798A">
        <w:t>通知</w:t>
      </w:r>
      <w:r w:rsidRPr="00DC798A">
        <w:rPr>
          <w:rFonts w:hint="eastAsia"/>
        </w:rPr>
        <w:t>》（财建</w:t>
      </w:r>
      <w:r w:rsidRPr="00DC798A">
        <w:t>〔</w:t>
      </w:r>
      <w:r w:rsidRPr="00DC798A">
        <w:rPr>
          <w:rFonts w:hint="eastAsia"/>
        </w:rPr>
        <w:t>2025</w:t>
      </w:r>
      <w:r w:rsidRPr="00DC798A">
        <w:rPr>
          <w:rFonts w:hint="eastAsia"/>
        </w:rPr>
        <w:t>〕</w:t>
      </w:r>
      <w:r w:rsidRPr="00DC798A">
        <w:rPr>
          <w:rFonts w:hint="eastAsia"/>
        </w:rPr>
        <w:t>77</w:t>
      </w:r>
      <w:r w:rsidRPr="00DC798A">
        <w:rPr>
          <w:rFonts w:hint="eastAsia"/>
        </w:rPr>
        <w:t>号），结合</w:t>
      </w:r>
      <w:r w:rsidRPr="00DC798A">
        <w:t>县域充换电设施补短板试点工作，</w:t>
      </w:r>
      <w:r w:rsidRPr="00DC798A">
        <w:rPr>
          <w:rFonts w:hint="eastAsia"/>
        </w:rPr>
        <w:t>现预拨</w:t>
      </w:r>
      <w:r w:rsidRPr="00DC798A">
        <w:t>下达</w:t>
      </w:r>
      <w:r w:rsidRPr="00DC798A">
        <w:rPr>
          <w:rFonts w:hint="eastAsia"/>
        </w:rPr>
        <w:t>奖励</w:t>
      </w:r>
      <w:r w:rsidRPr="00DC798A">
        <w:t>资金</w:t>
      </w:r>
      <w:r w:rsidRPr="00DC798A">
        <w:rPr>
          <w:rFonts w:hint="eastAsia"/>
        </w:rPr>
        <w:t>7920</w:t>
      </w:r>
      <w:r w:rsidRPr="00DC798A">
        <w:rPr>
          <w:rFonts w:hint="eastAsia"/>
        </w:rPr>
        <w:t>万元，</w:t>
      </w:r>
      <w:r w:rsidRPr="00DC798A">
        <w:t>其中：</w:t>
      </w:r>
      <w:r w:rsidRPr="00DC798A">
        <w:rPr>
          <w:rFonts w:hint="eastAsia"/>
        </w:rPr>
        <w:t>丰都</w:t>
      </w:r>
      <w:r w:rsidRPr="00DC798A">
        <w:t>县</w:t>
      </w:r>
      <w:r w:rsidRPr="00DC798A">
        <w:rPr>
          <w:rFonts w:hint="eastAsia"/>
        </w:rPr>
        <w:t>3960</w:t>
      </w:r>
      <w:r w:rsidRPr="00DC798A">
        <w:rPr>
          <w:rFonts w:hint="eastAsia"/>
        </w:rPr>
        <w:t>万元</w:t>
      </w:r>
      <w:r w:rsidRPr="00DC798A">
        <w:t>、</w:t>
      </w:r>
      <w:r w:rsidRPr="00DC798A">
        <w:rPr>
          <w:rFonts w:hint="eastAsia"/>
        </w:rPr>
        <w:t>垫江</w:t>
      </w:r>
      <w:r w:rsidRPr="00DC798A">
        <w:t>县</w:t>
      </w:r>
      <w:r w:rsidRPr="00DC798A">
        <w:rPr>
          <w:rFonts w:hint="eastAsia"/>
        </w:rPr>
        <w:t>3960</w:t>
      </w:r>
      <w:r w:rsidRPr="00DC798A">
        <w:rPr>
          <w:rFonts w:hint="eastAsia"/>
        </w:rPr>
        <w:t>万元，支出功能分类科目列“</w:t>
      </w:r>
      <w:r w:rsidRPr="00DC798A">
        <w:t>2111001</w:t>
      </w:r>
      <w:r w:rsidRPr="00DC798A">
        <w:rPr>
          <w:rFonts w:hint="eastAsia"/>
        </w:rPr>
        <w:t>能源节约利用”，支出经济分类科目按支出内容列报</w:t>
      </w:r>
      <w:r w:rsidRPr="00DC798A">
        <w:t>。</w:t>
      </w:r>
    </w:p>
    <w:p w:rsidR="007C7D94" w:rsidRPr="00DC798A" w:rsidRDefault="007C7D94" w:rsidP="007C7D94">
      <w:pPr>
        <w:spacing w:line="578" w:lineRule="exact"/>
        <w:ind w:firstLineChars="200" w:firstLine="640"/>
      </w:pPr>
      <w:r w:rsidRPr="00DC798A">
        <w:rPr>
          <w:rFonts w:hint="eastAsia"/>
        </w:rPr>
        <w:t>请按照</w:t>
      </w:r>
      <w:r w:rsidRPr="00DC798A">
        <w:t>《</w:t>
      </w:r>
      <w:r w:rsidRPr="00DC798A">
        <w:rPr>
          <w:rFonts w:hint="eastAsia"/>
        </w:rPr>
        <w:t>财政部</w:t>
      </w:r>
      <w:r w:rsidRPr="00DC798A">
        <w:t xml:space="preserve"> </w:t>
      </w:r>
      <w:r w:rsidRPr="00DC798A">
        <w:t>工业和信息化部</w:t>
      </w:r>
      <w:r w:rsidRPr="00DC798A">
        <w:t xml:space="preserve"> </w:t>
      </w:r>
      <w:r w:rsidRPr="00DC798A">
        <w:t>交通运输部关于开展县域充换电设施补短板试点工作的通知》</w:t>
      </w:r>
      <w:r w:rsidRPr="00DC798A">
        <w:rPr>
          <w:rFonts w:hint="eastAsia"/>
        </w:rPr>
        <w:t>（财建</w:t>
      </w:r>
      <w:r w:rsidRPr="00DC798A">
        <w:t>〔</w:t>
      </w:r>
      <w:r w:rsidRPr="00DC798A">
        <w:rPr>
          <w:rFonts w:hint="eastAsia"/>
        </w:rPr>
        <w:t>2024</w:t>
      </w:r>
      <w:r w:rsidRPr="00DC798A">
        <w:rPr>
          <w:rFonts w:hint="eastAsia"/>
        </w:rPr>
        <w:t>〕</w:t>
      </w:r>
      <w:r w:rsidRPr="00DC798A">
        <w:rPr>
          <w:rFonts w:hint="eastAsia"/>
        </w:rPr>
        <w:t>57</w:t>
      </w:r>
      <w:r w:rsidRPr="00DC798A">
        <w:rPr>
          <w:rFonts w:hint="eastAsia"/>
        </w:rPr>
        <w:t>号）、</w:t>
      </w:r>
      <w:r w:rsidRPr="00DC798A">
        <w:t>《</w:t>
      </w:r>
      <w:r w:rsidRPr="00DC798A">
        <w:rPr>
          <w:rFonts w:hint="eastAsia"/>
        </w:rPr>
        <w:t>财政部</w:t>
      </w:r>
      <w:r w:rsidRPr="00DC798A">
        <w:t>办公厅</w:t>
      </w:r>
      <w:r w:rsidRPr="00DC798A">
        <w:rPr>
          <w:rFonts w:hint="eastAsia"/>
        </w:rPr>
        <w:t xml:space="preserve"> </w:t>
      </w:r>
      <w:r w:rsidRPr="00DC798A">
        <w:rPr>
          <w:rFonts w:hint="eastAsia"/>
        </w:rPr>
        <w:t>工业和</w:t>
      </w:r>
      <w:r w:rsidRPr="00DC798A">
        <w:t>信息化部办公厅</w:t>
      </w:r>
      <w:r w:rsidRPr="00DC798A">
        <w:rPr>
          <w:rFonts w:hint="eastAsia"/>
        </w:rPr>
        <w:t xml:space="preserve"> </w:t>
      </w:r>
      <w:r w:rsidRPr="00DC798A">
        <w:rPr>
          <w:rFonts w:hint="eastAsia"/>
        </w:rPr>
        <w:t>交通运输部</w:t>
      </w:r>
      <w:r w:rsidRPr="00DC798A">
        <w:t>办公厅关于开展</w:t>
      </w:r>
      <w:r w:rsidRPr="00DC798A">
        <w:rPr>
          <w:rFonts w:hint="eastAsia"/>
        </w:rPr>
        <w:t>2025</w:t>
      </w:r>
      <w:r w:rsidRPr="00DC798A">
        <w:rPr>
          <w:rFonts w:hint="eastAsia"/>
        </w:rPr>
        <w:t>年</w:t>
      </w:r>
      <w:r w:rsidRPr="00DC798A">
        <w:t>县域充换电设施补短板试点申报有关工作的通知》</w:t>
      </w:r>
      <w:r w:rsidRPr="00DC798A">
        <w:rPr>
          <w:rFonts w:hint="eastAsia"/>
        </w:rPr>
        <w:t>（财办建</w:t>
      </w:r>
      <w:r w:rsidRPr="00DC798A">
        <w:t>〔</w:t>
      </w:r>
      <w:r w:rsidRPr="00DC798A">
        <w:rPr>
          <w:rFonts w:hint="eastAsia"/>
        </w:rPr>
        <w:t>2025</w:t>
      </w:r>
      <w:r w:rsidRPr="00DC798A">
        <w:rPr>
          <w:rFonts w:hint="eastAsia"/>
        </w:rPr>
        <w:t>〕</w:t>
      </w:r>
      <w:r w:rsidRPr="00DC798A">
        <w:rPr>
          <w:rFonts w:hint="eastAsia"/>
        </w:rPr>
        <w:t>3</w:t>
      </w:r>
      <w:r w:rsidRPr="00DC798A">
        <w:rPr>
          <w:rFonts w:hint="eastAsia"/>
        </w:rPr>
        <w:t>号）等</w:t>
      </w:r>
      <w:r w:rsidRPr="00DC798A">
        <w:t>文件</w:t>
      </w:r>
      <w:r w:rsidRPr="00DC798A">
        <w:rPr>
          <w:rFonts w:hint="eastAsia"/>
        </w:rPr>
        <w:t>，于</w:t>
      </w:r>
      <w:r w:rsidRPr="00DC798A">
        <w:rPr>
          <w:rFonts w:hint="eastAsia"/>
        </w:rPr>
        <w:t>2025</w:t>
      </w:r>
      <w:r w:rsidRPr="00DC798A">
        <w:rPr>
          <w:rFonts w:hint="eastAsia"/>
        </w:rPr>
        <w:t>年</w:t>
      </w:r>
      <w:r w:rsidRPr="00DC798A">
        <w:rPr>
          <w:rFonts w:hint="eastAsia"/>
        </w:rPr>
        <w:t>6</w:t>
      </w:r>
      <w:r w:rsidRPr="00DC798A">
        <w:rPr>
          <w:rFonts w:hint="eastAsia"/>
        </w:rPr>
        <w:t>月底</w:t>
      </w:r>
      <w:r w:rsidRPr="00DC798A">
        <w:t>之前细化出台</w:t>
      </w:r>
      <w:r w:rsidRPr="00DC798A">
        <w:rPr>
          <w:rFonts w:hint="eastAsia"/>
        </w:rPr>
        <w:t>本地区</w:t>
      </w:r>
      <w:r w:rsidRPr="00DC798A">
        <w:t>奖励资金管理办法</w:t>
      </w:r>
      <w:r w:rsidRPr="00DC798A">
        <w:rPr>
          <w:rFonts w:hint="eastAsia"/>
        </w:rPr>
        <w:t>，加快</w:t>
      </w:r>
      <w:r w:rsidRPr="00DC798A">
        <w:t>推进</w:t>
      </w:r>
      <w:r w:rsidRPr="00DC798A">
        <w:rPr>
          <w:rFonts w:hint="eastAsia"/>
        </w:rPr>
        <w:t>各项</w:t>
      </w:r>
      <w:r w:rsidRPr="00DC798A">
        <w:t>试点工作任务，确保试点工作取得实效。</w:t>
      </w:r>
      <w:r w:rsidRPr="00DC798A">
        <w:rPr>
          <w:rFonts w:hint="eastAsia"/>
        </w:rPr>
        <w:t>同时</w:t>
      </w:r>
      <w:r w:rsidRPr="00DC798A">
        <w:t>，请</w:t>
      </w:r>
      <w:r w:rsidRPr="00DC798A">
        <w:rPr>
          <w:rFonts w:hint="eastAsia"/>
        </w:rPr>
        <w:t>对照财建</w:t>
      </w:r>
      <w:r w:rsidRPr="00DC798A">
        <w:t>〔</w:t>
      </w:r>
      <w:r w:rsidRPr="00DC798A">
        <w:rPr>
          <w:rFonts w:hint="eastAsia"/>
        </w:rPr>
        <w:t>2025</w:t>
      </w:r>
      <w:r w:rsidRPr="00DC798A">
        <w:rPr>
          <w:rFonts w:hint="eastAsia"/>
        </w:rPr>
        <w:t>〕</w:t>
      </w:r>
      <w:r w:rsidRPr="00DC798A">
        <w:rPr>
          <w:rFonts w:hint="eastAsia"/>
        </w:rPr>
        <w:t>77</w:t>
      </w:r>
      <w:r w:rsidRPr="00DC798A">
        <w:rPr>
          <w:rFonts w:hint="eastAsia"/>
        </w:rPr>
        <w:t>号文件</w:t>
      </w:r>
      <w:r w:rsidRPr="00DC798A">
        <w:t>所列绩效目标（</w:t>
      </w:r>
      <w:r w:rsidRPr="00DC798A">
        <w:rPr>
          <w:rFonts w:hint="eastAsia"/>
        </w:rPr>
        <w:t>详见</w:t>
      </w:r>
      <w:r w:rsidRPr="00DC798A">
        <w:t>附件）</w:t>
      </w:r>
      <w:r w:rsidRPr="00DC798A">
        <w:rPr>
          <w:rFonts w:hint="eastAsia"/>
        </w:rPr>
        <w:t>，</w:t>
      </w:r>
      <w:r w:rsidRPr="00DC798A">
        <w:t>做好绩效监控和自评，</w:t>
      </w:r>
      <w:r w:rsidRPr="00DC798A">
        <w:rPr>
          <w:rFonts w:hint="eastAsia"/>
        </w:rPr>
        <w:t>及时</w:t>
      </w:r>
      <w:r w:rsidRPr="00DC798A">
        <w:t>将绩效目标</w:t>
      </w:r>
      <w:r w:rsidRPr="00DC798A">
        <w:rPr>
          <w:rFonts w:hint="eastAsia"/>
        </w:rPr>
        <w:t>实现</w:t>
      </w:r>
      <w:r w:rsidRPr="00DC798A">
        <w:t>情况报送市经济信息委、市交通运输委</w:t>
      </w:r>
      <w:r w:rsidRPr="00DC798A">
        <w:rPr>
          <w:rFonts w:hint="eastAsia"/>
        </w:rPr>
        <w:t>、</w:t>
      </w:r>
      <w:r w:rsidRPr="00DC798A">
        <w:t>市财政局。</w:t>
      </w:r>
    </w:p>
    <w:p w:rsidR="007C7D94" w:rsidRPr="00DC798A" w:rsidRDefault="007C7D94" w:rsidP="007C7D94">
      <w:pPr>
        <w:spacing w:line="578" w:lineRule="exact"/>
        <w:ind w:firstLineChars="200" w:firstLine="640"/>
      </w:pPr>
    </w:p>
    <w:p w:rsidR="007C7D94" w:rsidRPr="00DC798A" w:rsidRDefault="007C7D94" w:rsidP="007C7D94">
      <w:pPr>
        <w:spacing w:line="578" w:lineRule="exact"/>
        <w:ind w:firstLineChars="200" w:firstLine="640"/>
      </w:pPr>
      <w:r w:rsidRPr="00DC798A">
        <w:rPr>
          <w:rFonts w:hint="eastAsia"/>
        </w:rPr>
        <w:lastRenderedPageBreak/>
        <w:t>附件</w:t>
      </w:r>
      <w:r w:rsidRPr="00DC798A">
        <w:t>：</w:t>
      </w:r>
      <w:r w:rsidRPr="00DC798A">
        <w:rPr>
          <w:rFonts w:hint="eastAsia"/>
        </w:rPr>
        <w:t>2025</w:t>
      </w:r>
      <w:r w:rsidRPr="00DC798A">
        <w:rPr>
          <w:rFonts w:hint="eastAsia"/>
        </w:rPr>
        <w:t>年度</w:t>
      </w:r>
      <w:r w:rsidRPr="00DC798A">
        <w:t>节能减排补助资金绩效目标表（</w:t>
      </w:r>
      <w:r w:rsidRPr="00DC798A">
        <w:rPr>
          <w:rFonts w:hint="eastAsia"/>
        </w:rPr>
        <w:t>县域</w:t>
      </w:r>
      <w:r w:rsidRPr="00DC798A">
        <w:t>补短</w:t>
      </w:r>
    </w:p>
    <w:p w:rsidR="007C7D94" w:rsidRPr="00DC798A" w:rsidRDefault="007C7D94" w:rsidP="007C7D94">
      <w:pPr>
        <w:spacing w:line="578" w:lineRule="exact"/>
        <w:ind w:firstLineChars="500" w:firstLine="1600"/>
      </w:pPr>
      <w:r w:rsidRPr="00DC798A">
        <w:t>板试点）</w:t>
      </w:r>
    </w:p>
    <w:p w:rsidR="007C7D94" w:rsidRPr="00DC798A" w:rsidRDefault="007C7D94" w:rsidP="007C7D94">
      <w:pPr>
        <w:spacing w:line="578" w:lineRule="exact"/>
        <w:ind w:firstLineChars="200" w:firstLine="640"/>
      </w:pPr>
    </w:p>
    <w:p w:rsidR="007C7D94" w:rsidRPr="00DC798A" w:rsidRDefault="007C7D94" w:rsidP="007C7D94">
      <w:pPr>
        <w:spacing w:line="578" w:lineRule="exact"/>
      </w:pPr>
    </w:p>
    <w:p w:rsidR="007C7D94" w:rsidRPr="00DC798A" w:rsidRDefault="007C7D94" w:rsidP="007C7D94">
      <w:pPr>
        <w:spacing w:line="578" w:lineRule="exact"/>
      </w:pPr>
    </w:p>
    <w:p w:rsidR="007C7D94" w:rsidRPr="00DC798A" w:rsidRDefault="007C7D94" w:rsidP="007C7D94">
      <w:pPr>
        <w:spacing w:line="578" w:lineRule="exact"/>
        <w:ind w:firstLineChars="1736" w:firstLine="5555"/>
      </w:pPr>
      <w:r w:rsidRPr="00DC798A">
        <w:rPr>
          <w:rFonts w:hint="eastAsia"/>
        </w:rPr>
        <w:t>重庆市财政局</w:t>
      </w:r>
    </w:p>
    <w:p w:rsidR="007C7D94" w:rsidRPr="00DC798A" w:rsidRDefault="007C7D94" w:rsidP="007C7D94">
      <w:pPr>
        <w:spacing w:line="578" w:lineRule="exact"/>
        <w:ind w:firstLineChars="1693" w:firstLine="5418"/>
      </w:pPr>
      <w:r w:rsidRPr="00DC798A">
        <w:rPr>
          <w:rFonts w:hint="eastAsia"/>
        </w:rPr>
        <w:t>20</w:t>
      </w:r>
      <w:r w:rsidRPr="00DC798A">
        <w:t>25</w:t>
      </w:r>
      <w:r w:rsidRPr="00DC798A">
        <w:rPr>
          <w:rFonts w:hint="eastAsia"/>
        </w:rPr>
        <w:t>年</w:t>
      </w:r>
      <w:r w:rsidRPr="00DC798A">
        <w:t>5</w:t>
      </w:r>
      <w:r w:rsidRPr="00DC798A">
        <w:rPr>
          <w:rFonts w:hint="eastAsia"/>
        </w:rPr>
        <w:t>月</w:t>
      </w:r>
      <w:r w:rsidRPr="00DC798A">
        <w:t>8</w:t>
      </w:r>
      <w:r w:rsidRPr="00DC798A">
        <w:rPr>
          <w:rFonts w:hint="eastAsia"/>
        </w:rPr>
        <w:t>日</w:t>
      </w:r>
    </w:p>
    <w:p w:rsidR="007C7D94" w:rsidRPr="00DC798A" w:rsidRDefault="007C7D94" w:rsidP="007C7D94">
      <w:pPr>
        <w:spacing w:line="578" w:lineRule="exact"/>
        <w:ind w:firstLineChars="200" w:firstLine="640"/>
      </w:pPr>
      <w:r w:rsidRPr="00DC798A">
        <w:rPr>
          <w:rFonts w:hint="eastAsia"/>
        </w:rPr>
        <w:t>（此件主动公开</w:t>
      </w:r>
      <w:r w:rsidRPr="00DC798A">
        <w:t>）</w:t>
      </w:r>
    </w:p>
    <w:p w:rsidR="007C7D94" w:rsidRDefault="007C7D94" w:rsidP="007C7D94">
      <w:pPr>
        <w:pStyle w:val="a0"/>
      </w:pPr>
      <w:r>
        <w:br w:type="page"/>
      </w:r>
    </w:p>
    <w:p w:rsidR="007C7D94" w:rsidRPr="00DC798A" w:rsidRDefault="007C7D94" w:rsidP="007C7D94">
      <w:pPr>
        <w:spacing w:line="578" w:lineRule="exact"/>
        <w:rPr>
          <w:rFonts w:eastAsia="方正黑体_GBK"/>
        </w:rPr>
      </w:pPr>
      <w:r w:rsidRPr="00DC798A">
        <w:rPr>
          <w:rFonts w:eastAsia="方正黑体_GBK" w:hint="eastAsia"/>
        </w:rPr>
        <w:lastRenderedPageBreak/>
        <w:t>附件</w:t>
      </w:r>
    </w:p>
    <w:p w:rsidR="007C7D94" w:rsidRPr="00DC798A" w:rsidRDefault="007C7D94" w:rsidP="007C7D94">
      <w:pPr>
        <w:spacing w:line="578" w:lineRule="exact"/>
        <w:rPr>
          <w:rFonts w:eastAsia="方正黑体_GBK" w:hint="eastAsia"/>
        </w:rPr>
      </w:pPr>
    </w:p>
    <w:p w:rsidR="007C7D94" w:rsidRPr="00DC798A" w:rsidRDefault="007C7D94" w:rsidP="007C7D94">
      <w:pPr>
        <w:spacing w:line="578" w:lineRule="exact"/>
        <w:jc w:val="center"/>
        <w:rPr>
          <w:rFonts w:eastAsia="方正小标宋_GBK"/>
          <w:sz w:val="44"/>
          <w:szCs w:val="44"/>
        </w:rPr>
      </w:pPr>
      <w:r w:rsidRPr="00DC798A">
        <w:rPr>
          <w:rFonts w:eastAsia="方正小标宋_GBK" w:hint="eastAsia"/>
          <w:sz w:val="44"/>
          <w:szCs w:val="44"/>
        </w:rPr>
        <w:t>2025</w:t>
      </w:r>
      <w:r w:rsidRPr="00DC798A">
        <w:rPr>
          <w:rFonts w:eastAsia="方正小标宋_GBK" w:hint="eastAsia"/>
          <w:sz w:val="44"/>
          <w:szCs w:val="44"/>
        </w:rPr>
        <w:t>年度</w:t>
      </w:r>
      <w:r w:rsidRPr="00DC798A">
        <w:rPr>
          <w:rFonts w:eastAsia="方正小标宋_GBK"/>
          <w:sz w:val="44"/>
          <w:szCs w:val="44"/>
        </w:rPr>
        <w:t>节能减排补助资金绩效目标表（</w:t>
      </w:r>
      <w:r w:rsidRPr="00DC798A">
        <w:rPr>
          <w:rFonts w:eastAsia="方正小标宋_GBK" w:hint="eastAsia"/>
          <w:sz w:val="44"/>
          <w:szCs w:val="44"/>
        </w:rPr>
        <w:t>县域</w:t>
      </w:r>
      <w:r w:rsidRPr="00DC798A">
        <w:rPr>
          <w:rFonts w:eastAsia="方正小标宋_GBK"/>
          <w:sz w:val="44"/>
          <w:szCs w:val="44"/>
        </w:rPr>
        <w:t>补短板试点）</w:t>
      </w:r>
    </w:p>
    <w:p w:rsidR="007C7D94" w:rsidRPr="00DC798A" w:rsidRDefault="007C7D94" w:rsidP="007C7D94">
      <w:pPr>
        <w:pStyle w:val="af1"/>
        <w:spacing w:line="578" w:lineRule="exact"/>
        <w:ind w:firstLineChars="0" w:firstLine="0"/>
        <w:jc w:val="center"/>
        <w:rPr>
          <w:rFonts w:eastAsia="方正楷体_GBK" w:hint="eastAsia"/>
        </w:rPr>
      </w:pPr>
      <w:r w:rsidRPr="00DC798A">
        <w:rPr>
          <w:rFonts w:eastAsia="方正楷体_GBK" w:hint="eastAsia"/>
        </w:rPr>
        <w:t>（丰都县）</w:t>
      </w:r>
    </w:p>
    <w:tbl>
      <w:tblPr>
        <w:tblW w:w="9493" w:type="dxa"/>
        <w:jc w:val="center"/>
        <w:tblLook w:val="04A0" w:firstRow="1" w:lastRow="0" w:firstColumn="1" w:lastColumn="0" w:noHBand="0" w:noVBand="1"/>
      </w:tblPr>
      <w:tblGrid>
        <w:gridCol w:w="846"/>
        <w:gridCol w:w="955"/>
        <w:gridCol w:w="1113"/>
        <w:gridCol w:w="4311"/>
        <w:gridCol w:w="2268"/>
      </w:tblGrid>
      <w:tr w:rsidR="007C7D94" w:rsidRPr="00DC798A" w:rsidTr="00F56E48">
        <w:trPr>
          <w:trHeight w:val="444"/>
          <w:jc w:val="center"/>
        </w:trPr>
        <w:tc>
          <w:tcPr>
            <w:tcW w:w="18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项目名称</w:t>
            </w:r>
          </w:p>
        </w:tc>
        <w:tc>
          <w:tcPr>
            <w:tcW w:w="7692" w:type="dxa"/>
            <w:gridSpan w:val="3"/>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节能减排补助资金</w:t>
            </w:r>
          </w:p>
        </w:tc>
      </w:tr>
      <w:tr w:rsidR="007C7D94" w:rsidRPr="00DC798A" w:rsidTr="00F56E48">
        <w:trPr>
          <w:trHeight w:val="444"/>
          <w:jc w:val="center"/>
        </w:trPr>
        <w:tc>
          <w:tcPr>
            <w:tcW w:w="18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主管部门</w:t>
            </w:r>
          </w:p>
        </w:tc>
        <w:tc>
          <w:tcPr>
            <w:tcW w:w="7692" w:type="dxa"/>
            <w:gridSpan w:val="3"/>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丰都县经济和信息化委员会、交通运输委员会、财政局</w:t>
            </w:r>
          </w:p>
        </w:tc>
      </w:tr>
      <w:tr w:rsidR="007C7D94" w:rsidRPr="00DC798A" w:rsidTr="00F56E48">
        <w:trPr>
          <w:trHeight w:val="444"/>
          <w:jc w:val="center"/>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项目资金</w:t>
            </w:r>
            <w:r w:rsidRPr="00DC798A">
              <w:rPr>
                <w:rFonts w:cs="宋体" w:hint="eastAsia"/>
                <w:sz w:val="24"/>
                <w:szCs w:val="24"/>
              </w:rPr>
              <w:br/>
            </w:r>
            <w:r w:rsidRPr="00DC798A">
              <w:rPr>
                <w:rFonts w:cs="宋体" w:hint="eastAsia"/>
                <w:sz w:val="24"/>
                <w:szCs w:val="24"/>
              </w:rPr>
              <w:t>（万元）</w:t>
            </w:r>
          </w:p>
        </w:tc>
        <w:tc>
          <w:tcPr>
            <w:tcW w:w="5424" w:type="dxa"/>
            <w:gridSpan w:val="2"/>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年度资金总额：</w:t>
            </w:r>
          </w:p>
        </w:tc>
        <w:tc>
          <w:tcPr>
            <w:tcW w:w="2268" w:type="dxa"/>
            <w:tcBorders>
              <w:top w:val="nil"/>
              <w:left w:val="nil"/>
              <w:bottom w:val="single" w:sz="4" w:space="0" w:color="auto"/>
              <w:right w:val="single" w:sz="4" w:space="0" w:color="auto"/>
            </w:tcBorders>
            <w:shd w:val="clear" w:color="auto" w:fill="auto"/>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3960</w:t>
            </w:r>
          </w:p>
        </w:tc>
      </w:tr>
      <w:tr w:rsidR="007C7D94" w:rsidRPr="00DC798A" w:rsidTr="00F56E48">
        <w:trPr>
          <w:trHeight w:val="444"/>
          <w:jc w:val="center"/>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rsidR="007C7D94" w:rsidRPr="00DC798A" w:rsidRDefault="007C7D94" w:rsidP="00F56E48">
            <w:pPr>
              <w:widowControl/>
              <w:spacing w:line="360" w:lineRule="exact"/>
              <w:jc w:val="left"/>
              <w:rPr>
                <w:rFonts w:cs="宋体"/>
                <w:sz w:val="24"/>
                <w:szCs w:val="24"/>
              </w:rPr>
            </w:pPr>
          </w:p>
        </w:tc>
        <w:tc>
          <w:tcPr>
            <w:tcW w:w="5424" w:type="dxa"/>
            <w:gridSpan w:val="2"/>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其中：本年一般公共预算拨款</w:t>
            </w:r>
          </w:p>
        </w:tc>
        <w:tc>
          <w:tcPr>
            <w:tcW w:w="2268" w:type="dxa"/>
            <w:tcBorders>
              <w:top w:val="nil"/>
              <w:left w:val="nil"/>
              <w:bottom w:val="single" w:sz="4" w:space="0" w:color="auto"/>
              <w:right w:val="single" w:sz="4" w:space="0" w:color="auto"/>
            </w:tcBorders>
            <w:shd w:val="clear" w:color="auto" w:fill="auto"/>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3960</w:t>
            </w:r>
          </w:p>
        </w:tc>
      </w:tr>
      <w:tr w:rsidR="007C7D94" w:rsidRPr="00DC798A" w:rsidTr="00F56E48">
        <w:trPr>
          <w:trHeight w:val="444"/>
          <w:jc w:val="center"/>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rsidR="007C7D94" w:rsidRPr="00DC798A" w:rsidRDefault="007C7D94" w:rsidP="00F56E48">
            <w:pPr>
              <w:widowControl/>
              <w:spacing w:line="360" w:lineRule="exact"/>
              <w:jc w:val="left"/>
              <w:rPr>
                <w:rFonts w:cs="宋体"/>
                <w:sz w:val="24"/>
                <w:szCs w:val="24"/>
              </w:rPr>
            </w:pPr>
          </w:p>
        </w:tc>
        <w:tc>
          <w:tcPr>
            <w:tcW w:w="5424" w:type="dxa"/>
            <w:gridSpan w:val="2"/>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其他资金</w:t>
            </w:r>
          </w:p>
        </w:tc>
        <w:tc>
          <w:tcPr>
            <w:tcW w:w="2268" w:type="dxa"/>
            <w:tcBorders>
              <w:top w:val="nil"/>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 xml:space="preserve">　</w:t>
            </w:r>
          </w:p>
        </w:tc>
      </w:tr>
      <w:tr w:rsidR="007C7D94" w:rsidRPr="00DC798A" w:rsidTr="00F56E48">
        <w:trPr>
          <w:trHeight w:val="720"/>
          <w:jc w:val="center"/>
        </w:trPr>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总</w:t>
            </w:r>
            <w:r w:rsidRPr="00DC798A">
              <w:rPr>
                <w:rFonts w:eastAsia="黑体" w:cs="宋体" w:hint="eastAsia"/>
                <w:sz w:val="24"/>
                <w:szCs w:val="24"/>
              </w:rPr>
              <w:br/>
            </w:r>
            <w:r w:rsidRPr="00DC798A">
              <w:rPr>
                <w:rFonts w:eastAsia="黑体" w:cs="宋体" w:hint="eastAsia"/>
                <w:sz w:val="24"/>
                <w:szCs w:val="24"/>
              </w:rPr>
              <w:t>体</w:t>
            </w:r>
            <w:r w:rsidRPr="00DC798A">
              <w:rPr>
                <w:rFonts w:eastAsia="黑体" w:cs="宋体" w:hint="eastAsia"/>
                <w:sz w:val="24"/>
                <w:szCs w:val="24"/>
              </w:rPr>
              <w:br/>
            </w:r>
            <w:r w:rsidRPr="00DC798A">
              <w:rPr>
                <w:rFonts w:eastAsia="黑体" w:cs="宋体" w:hint="eastAsia"/>
                <w:sz w:val="24"/>
                <w:szCs w:val="24"/>
              </w:rPr>
              <w:t>目</w:t>
            </w:r>
            <w:r w:rsidRPr="00DC798A">
              <w:rPr>
                <w:rFonts w:eastAsia="黑体" w:cs="宋体" w:hint="eastAsia"/>
                <w:sz w:val="24"/>
                <w:szCs w:val="24"/>
              </w:rPr>
              <w:br/>
            </w:r>
            <w:r w:rsidRPr="00DC798A">
              <w:rPr>
                <w:rFonts w:eastAsia="黑体" w:cs="宋体" w:hint="eastAsia"/>
                <w:sz w:val="24"/>
                <w:szCs w:val="24"/>
              </w:rPr>
              <w:t>标</w:t>
            </w:r>
          </w:p>
        </w:tc>
        <w:tc>
          <w:tcPr>
            <w:tcW w:w="864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1.</w:t>
            </w:r>
            <w:r w:rsidRPr="00DC798A">
              <w:rPr>
                <w:rFonts w:cs="宋体" w:hint="eastAsia"/>
                <w:sz w:val="24"/>
                <w:szCs w:val="24"/>
              </w:rPr>
              <w:t>支持提升农村地区“薄弱环节”的公共充换电服务保障能力，激发试点县及周边地区新能源汽车消费潜力；</w:t>
            </w:r>
            <w:r w:rsidRPr="00DC798A">
              <w:rPr>
                <w:rFonts w:cs="宋体" w:hint="eastAsia"/>
                <w:sz w:val="24"/>
                <w:szCs w:val="24"/>
              </w:rPr>
              <w:br/>
              <w:t>2.</w:t>
            </w:r>
            <w:r w:rsidRPr="00DC798A">
              <w:rPr>
                <w:rFonts w:cs="宋体" w:hint="eastAsia"/>
                <w:sz w:val="24"/>
                <w:szCs w:val="24"/>
              </w:rPr>
              <w:t>培育符合试点县及周边地区新能源汽车发展特点的充换电应用场景，完善提升县级邮政快递网点、农村物流节点、农村客货运场站、</w:t>
            </w:r>
            <w:r w:rsidRPr="00DC798A">
              <w:rPr>
                <w:rFonts w:cs="宋体" w:hint="eastAsia"/>
                <w:sz w:val="24"/>
                <w:szCs w:val="24"/>
              </w:rPr>
              <w:t>3A</w:t>
            </w:r>
            <w:r w:rsidRPr="00DC798A">
              <w:rPr>
                <w:rFonts w:cs="宋体" w:hint="eastAsia"/>
                <w:sz w:val="24"/>
                <w:szCs w:val="24"/>
              </w:rPr>
              <w:t>级及以下旅游景区、农村公路沿线、交通综合服务站等适宜新能源汽车充电场景的服务保障能力；</w:t>
            </w:r>
            <w:r w:rsidRPr="00DC798A">
              <w:rPr>
                <w:rFonts w:cs="宋体" w:hint="eastAsia"/>
                <w:sz w:val="24"/>
                <w:szCs w:val="24"/>
              </w:rPr>
              <w:br/>
              <w:t>3.</w:t>
            </w:r>
            <w:r w:rsidRPr="00DC798A">
              <w:rPr>
                <w:rFonts w:cs="宋体" w:hint="eastAsia"/>
                <w:sz w:val="24"/>
                <w:szCs w:val="24"/>
              </w:rPr>
              <w:t>培育新技术新模式在农村地区的推广应用。</w:t>
            </w:r>
          </w:p>
        </w:tc>
      </w:tr>
      <w:tr w:rsidR="007C7D94" w:rsidRPr="00DC798A" w:rsidTr="00F56E48">
        <w:trPr>
          <w:trHeight w:val="1692"/>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8647" w:type="dxa"/>
            <w:gridSpan w:val="4"/>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r>
      <w:tr w:rsidR="007C7D94" w:rsidRPr="00DC798A" w:rsidTr="00F56E48">
        <w:trPr>
          <w:trHeight w:val="720"/>
          <w:jc w:val="center"/>
        </w:trPr>
        <w:tc>
          <w:tcPr>
            <w:tcW w:w="846"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绩效指标</w:t>
            </w:r>
          </w:p>
        </w:tc>
        <w:tc>
          <w:tcPr>
            <w:tcW w:w="955" w:type="dxa"/>
            <w:tcBorders>
              <w:top w:val="nil"/>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一级指标</w:t>
            </w:r>
          </w:p>
        </w:tc>
        <w:tc>
          <w:tcPr>
            <w:tcW w:w="1113" w:type="dxa"/>
            <w:tcBorders>
              <w:top w:val="nil"/>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二级指标</w:t>
            </w:r>
          </w:p>
        </w:tc>
        <w:tc>
          <w:tcPr>
            <w:tcW w:w="4311" w:type="dxa"/>
            <w:tcBorders>
              <w:top w:val="nil"/>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三级指标</w:t>
            </w:r>
          </w:p>
        </w:tc>
        <w:tc>
          <w:tcPr>
            <w:tcW w:w="2268" w:type="dxa"/>
            <w:tcBorders>
              <w:top w:val="nil"/>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指标值</w:t>
            </w:r>
          </w:p>
        </w:tc>
      </w:tr>
      <w:tr w:rsidR="007C7D94" w:rsidRPr="00DC798A" w:rsidTr="00F56E48">
        <w:trPr>
          <w:trHeight w:val="801"/>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成本指标</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经济成本指标</w:t>
            </w:r>
          </w:p>
        </w:tc>
        <w:tc>
          <w:tcPr>
            <w:tcW w:w="4311" w:type="dxa"/>
            <w:tcBorders>
              <w:top w:val="nil"/>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 xml:space="preserve"> </w:t>
            </w:r>
            <w:r w:rsidRPr="00DC798A">
              <w:rPr>
                <w:rFonts w:cs="宋体" w:hint="eastAsia"/>
                <w:sz w:val="24"/>
                <w:szCs w:val="24"/>
              </w:rPr>
              <w:t>项目投资成本（万元）</w:t>
            </w:r>
          </w:p>
        </w:tc>
        <w:tc>
          <w:tcPr>
            <w:tcW w:w="2268" w:type="dxa"/>
            <w:tcBorders>
              <w:top w:val="nil"/>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w:t>
            </w:r>
            <w:r w:rsidRPr="00DC798A">
              <w:rPr>
                <w:rFonts w:cs="宋体" w:hint="eastAsia"/>
                <w:sz w:val="24"/>
                <w:szCs w:val="24"/>
              </w:rPr>
              <w:t>4700</w:t>
            </w:r>
          </w:p>
        </w:tc>
      </w:tr>
      <w:tr w:rsidR="007C7D94" w:rsidRPr="00DC798A" w:rsidTr="00F56E48">
        <w:trPr>
          <w:trHeight w:val="999"/>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产出指标</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数量指标</w:t>
            </w: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rPr>
                <w:rFonts w:cs="宋体"/>
                <w:sz w:val="24"/>
                <w:szCs w:val="24"/>
              </w:rPr>
            </w:pPr>
            <w:r w:rsidRPr="00DC798A">
              <w:rPr>
                <w:rFonts w:cs="宋体" w:hint="eastAsia"/>
                <w:sz w:val="24"/>
                <w:szCs w:val="24"/>
              </w:rPr>
              <w:t>第一档地区年度功率利用率</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w:t>
            </w:r>
            <w:r w:rsidRPr="00DC798A">
              <w:rPr>
                <w:rFonts w:cs="宋体" w:hint="eastAsia"/>
                <w:sz w:val="24"/>
                <w:szCs w:val="24"/>
              </w:rPr>
              <w:t>5.0%</w:t>
            </w:r>
            <w:r w:rsidRPr="00DC798A">
              <w:rPr>
                <w:rFonts w:cs="宋体" w:hint="eastAsia"/>
                <w:sz w:val="24"/>
                <w:szCs w:val="24"/>
              </w:rPr>
              <w:t>（</w:t>
            </w:r>
            <w:r w:rsidRPr="00DC798A">
              <w:rPr>
                <w:rFonts w:cs="宋体" w:hint="eastAsia"/>
                <w:sz w:val="24"/>
                <w:szCs w:val="24"/>
              </w:rPr>
              <w:t>2025</w:t>
            </w:r>
            <w:r w:rsidRPr="00DC798A">
              <w:rPr>
                <w:rFonts w:cs="宋体" w:hint="eastAsia"/>
                <w:sz w:val="24"/>
                <w:szCs w:val="24"/>
              </w:rPr>
              <w:t>年）</w:t>
            </w:r>
            <w:r w:rsidRPr="00DC798A">
              <w:rPr>
                <w:rFonts w:cs="宋体" w:hint="eastAsia"/>
                <w:sz w:val="24"/>
                <w:szCs w:val="24"/>
              </w:rPr>
              <w:br/>
            </w:r>
            <w:r w:rsidRPr="00DC798A">
              <w:rPr>
                <w:rFonts w:cs="宋体" w:hint="eastAsia"/>
                <w:sz w:val="24"/>
                <w:szCs w:val="24"/>
              </w:rPr>
              <w:t>≥</w:t>
            </w:r>
            <w:r w:rsidRPr="00DC798A">
              <w:rPr>
                <w:rFonts w:cs="宋体" w:hint="eastAsia"/>
                <w:sz w:val="24"/>
                <w:szCs w:val="24"/>
              </w:rPr>
              <w:t>5.5%</w:t>
            </w:r>
            <w:r w:rsidRPr="00DC798A">
              <w:rPr>
                <w:rFonts w:cs="宋体" w:hint="eastAsia"/>
                <w:sz w:val="24"/>
                <w:szCs w:val="24"/>
              </w:rPr>
              <w:t>（</w:t>
            </w:r>
            <w:r w:rsidRPr="00DC798A">
              <w:rPr>
                <w:rFonts w:cs="宋体" w:hint="eastAsia"/>
                <w:sz w:val="24"/>
                <w:szCs w:val="24"/>
              </w:rPr>
              <w:t>2026</w:t>
            </w:r>
            <w:r w:rsidRPr="00DC798A">
              <w:rPr>
                <w:rFonts w:cs="宋体" w:hint="eastAsia"/>
                <w:sz w:val="24"/>
                <w:szCs w:val="24"/>
              </w:rPr>
              <w:t>年）</w:t>
            </w:r>
            <w:r w:rsidRPr="00DC798A">
              <w:rPr>
                <w:rFonts w:cs="宋体" w:hint="eastAsia"/>
                <w:sz w:val="24"/>
                <w:szCs w:val="24"/>
              </w:rPr>
              <w:br/>
            </w:r>
            <w:r w:rsidRPr="00DC798A">
              <w:rPr>
                <w:rFonts w:cs="宋体" w:hint="eastAsia"/>
                <w:sz w:val="24"/>
                <w:szCs w:val="24"/>
              </w:rPr>
              <w:t>≥</w:t>
            </w:r>
            <w:r w:rsidRPr="00DC798A">
              <w:rPr>
                <w:rFonts w:cs="宋体" w:hint="eastAsia"/>
                <w:sz w:val="24"/>
                <w:szCs w:val="24"/>
              </w:rPr>
              <w:t>6.0%</w:t>
            </w:r>
            <w:r w:rsidRPr="00DC798A">
              <w:rPr>
                <w:rFonts w:cs="宋体" w:hint="eastAsia"/>
                <w:sz w:val="24"/>
                <w:szCs w:val="24"/>
              </w:rPr>
              <w:t>（</w:t>
            </w:r>
            <w:r w:rsidRPr="00DC798A">
              <w:rPr>
                <w:rFonts w:cs="宋体" w:hint="eastAsia"/>
                <w:sz w:val="24"/>
                <w:szCs w:val="24"/>
              </w:rPr>
              <w:t>2027</w:t>
            </w:r>
            <w:r w:rsidRPr="00DC798A">
              <w:rPr>
                <w:rFonts w:cs="宋体" w:hint="eastAsia"/>
                <w:sz w:val="24"/>
                <w:szCs w:val="24"/>
              </w:rPr>
              <w:t>年）</w:t>
            </w:r>
          </w:p>
        </w:tc>
      </w:tr>
      <w:tr w:rsidR="007C7D94" w:rsidRPr="00DC798A" w:rsidTr="00F56E48">
        <w:trPr>
          <w:trHeight w:val="648"/>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质量指标</w:t>
            </w: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中央财政奖励资金用于符合试点政策要求的充换电基础设施比例</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试点县新建充换电基础设施应面向全社会开放比例</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试点县新建充换电基础设施可用率</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w:t>
            </w:r>
            <w:r w:rsidRPr="00DC798A">
              <w:rPr>
                <w:rFonts w:cs="宋体" w:hint="eastAsia"/>
                <w:sz w:val="24"/>
                <w:szCs w:val="24"/>
              </w:rPr>
              <w:t>99%</w:t>
            </w:r>
          </w:p>
        </w:tc>
      </w:tr>
      <w:tr w:rsidR="007C7D94" w:rsidRPr="00DC798A" w:rsidTr="00F56E48">
        <w:trPr>
          <w:trHeight w:val="648"/>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试点县新建充换电基础设施额定功率大于等于</w:t>
            </w:r>
            <w:r w:rsidRPr="00DC798A">
              <w:rPr>
                <w:rFonts w:cs="宋体" w:hint="eastAsia"/>
                <w:sz w:val="24"/>
                <w:szCs w:val="24"/>
              </w:rPr>
              <w:t>120kW</w:t>
            </w:r>
            <w:r w:rsidRPr="00DC798A">
              <w:rPr>
                <w:rFonts w:cs="宋体" w:hint="eastAsia"/>
                <w:sz w:val="24"/>
                <w:szCs w:val="24"/>
              </w:rPr>
              <w:t>比例</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新建充换电设施接入新能源汽车公共充换电基础设施奖励资金清算平台的比例</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rPr>
                <w:rFonts w:cs="宋体"/>
                <w:sz w:val="24"/>
                <w:szCs w:val="24"/>
              </w:rPr>
            </w:pPr>
            <w:r w:rsidRPr="00DC798A">
              <w:rPr>
                <w:rFonts w:cs="宋体" w:hint="eastAsia"/>
                <w:sz w:val="24"/>
                <w:szCs w:val="24"/>
              </w:rPr>
              <w:t>充换电设施支持管理政策体系</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有所完善</w:t>
            </w:r>
          </w:p>
        </w:tc>
      </w:tr>
      <w:tr w:rsidR="007C7D94" w:rsidRPr="00DC798A" w:rsidTr="00F56E48">
        <w:trPr>
          <w:trHeight w:val="648"/>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时效指标</w:t>
            </w: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rPr>
                <w:rFonts w:cs="宋体"/>
                <w:sz w:val="24"/>
                <w:szCs w:val="24"/>
              </w:rPr>
            </w:pPr>
            <w:r w:rsidRPr="00DC798A">
              <w:rPr>
                <w:rFonts w:cs="宋体" w:hint="eastAsia"/>
                <w:sz w:val="24"/>
                <w:szCs w:val="24"/>
              </w:rPr>
              <w:t>年度新建充换电设施数量（台）目标</w:t>
            </w:r>
            <w:r w:rsidRPr="00DC798A">
              <w:rPr>
                <w:rFonts w:cs="宋体" w:hint="eastAsia"/>
                <w:sz w:val="24"/>
                <w:szCs w:val="24"/>
              </w:rPr>
              <w:t>(</w:t>
            </w:r>
            <w:r w:rsidRPr="00DC798A">
              <w:rPr>
                <w:rFonts w:cs="宋体" w:hint="eastAsia"/>
                <w:sz w:val="24"/>
                <w:szCs w:val="24"/>
              </w:rPr>
              <w:t>标准桩</w:t>
            </w:r>
            <w:r w:rsidRPr="00DC798A">
              <w:rPr>
                <w:rFonts w:cs="宋体" w:hint="eastAsia"/>
                <w:sz w:val="24"/>
                <w:szCs w:val="24"/>
              </w:rPr>
              <w:t>)</w:t>
            </w:r>
            <w:r w:rsidRPr="00DC798A">
              <w:rPr>
                <w:rFonts w:cs="宋体" w:hint="eastAsia"/>
                <w:sz w:val="24"/>
                <w:szCs w:val="24"/>
              </w:rPr>
              <w:t>完成率</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年度新建充换电设施总功率（千瓦）目标完成率</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年度新技术新模式任务目标完成率</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效益指标</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经济效益指标</w:t>
            </w:r>
          </w:p>
        </w:tc>
        <w:tc>
          <w:tcPr>
            <w:tcW w:w="4311"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新能源汽车渗透率</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明显提升</w:t>
            </w:r>
          </w:p>
        </w:tc>
      </w:tr>
      <w:tr w:rsidR="007C7D94" w:rsidRPr="00DC798A" w:rsidTr="00F56E48">
        <w:trPr>
          <w:trHeight w:val="648"/>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社会效益指标</w:t>
            </w: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方便县域新能源汽车充电用户数</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显著提升</w:t>
            </w:r>
          </w:p>
        </w:tc>
      </w:tr>
      <w:tr w:rsidR="007C7D94" w:rsidRPr="00DC798A" w:rsidTr="00F56E48">
        <w:trPr>
          <w:trHeight w:val="1032"/>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县级邮政快递网点、农村物流节点、农村客货运场站（包括乡镇运输服务站、农村客货邮站点等）、交通综合服务站等场景覆盖率</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显著提升</w:t>
            </w:r>
          </w:p>
        </w:tc>
      </w:tr>
      <w:tr w:rsidR="007C7D94" w:rsidRPr="00DC798A" w:rsidTr="00F56E48">
        <w:trPr>
          <w:trHeight w:val="888"/>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充换电基础设施与高速公路出入口（</w:t>
            </w:r>
            <w:r w:rsidRPr="00DC798A">
              <w:rPr>
                <w:rFonts w:cs="宋体" w:hint="eastAsia"/>
                <w:sz w:val="24"/>
                <w:szCs w:val="24"/>
              </w:rPr>
              <w:t>3km</w:t>
            </w:r>
            <w:r w:rsidRPr="00DC798A">
              <w:rPr>
                <w:rFonts w:cs="宋体" w:hint="eastAsia"/>
                <w:sz w:val="24"/>
                <w:szCs w:val="24"/>
              </w:rPr>
              <w:t>范围内）、“四好农村路”等衔接情况</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有所改善</w:t>
            </w:r>
          </w:p>
        </w:tc>
      </w:tr>
      <w:tr w:rsidR="007C7D94" w:rsidRPr="00DC798A" w:rsidTr="00F56E48">
        <w:trPr>
          <w:trHeight w:val="624"/>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生态效益指标</w:t>
            </w:r>
          </w:p>
        </w:tc>
        <w:tc>
          <w:tcPr>
            <w:tcW w:w="4311"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节能减排效果</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有所提升</w:t>
            </w:r>
          </w:p>
        </w:tc>
      </w:tr>
      <w:tr w:rsidR="007C7D94" w:rsidRPr="00DC798A" w:rsidTr="00F56E48">
        <w:trPr>
          <w:trHeight w:val="624"/>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可持续影响指标</w:t>
            </w: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试点期间新建充换电设施可持续运营年限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w:t>
            </w:r>
            <w:r w:rsidRPr="00DC798A">
              <w:rPr>
                <w:rFonts w:cs="宋体" w:hint="eastAsia"/>
                <w:sz w:val="24"/>
                <w:szCs w:val="24"/>
              </w:rPr>
              <w:t>6</w:t>
            </w:r>
            <w:r w:rsidRPr="00DC798A">
              <w:rPr>
                <w:rFonts w:cs="宋体" w:hint="eastAsia"/>
                <w:sz w:val="24"/>
                <w:szCs w:val="24"/>
              </w:rPr>
              <w:t>年</w:t>
            </w:r>
          </w:p>
        </w:tc>
      </w:tr>
      <w:tr w:rsidR="007C7D94" w:rsidRPr="00DC798A" w:rsidTr="00F56E48">
        <w:trPr>
          <w:trHeight w:val="624"/>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试点期间试点县充换电设施空间布局整体合理性</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有所提升</w:t>
            </w:r>
          </w:p>
        </w:tc>
      </w:tr>
      <w:tr w:rsidR="007C7D94" w:rsidRPr="00DC798A" w:rsidTr="00F56E48">
        <w:trPr>
          <w:trHeight w:val="624"/>
          <w:jc w:val="center"/>
        </w:trPr>
        <w:tc>
          <w:tcPr>
            <w:tcW w:w="846"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5"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满意度指标</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服务对象满意度</w:t>
            </w:r>
          </w:p>
        </w:tc>
        <w:tc>
          <w:tcPr>
            <w:tcW w:w="4311"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受益群众满意度</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w:t>
            </w:r>
            <w:r w:rsidRPr="00DC798A">
              <w:rPr>
                <w:rFonts w:cs="宋体" w:hint="eastAsia"/>
                <w:sz w:val="24"/>
                <w:szCs w:val="24"/>
              </w:rPr>
              <w:t>90%</w:t>
            </w:r>
          </w:p>
        </w:tc>
      </w:tr>
    </w:tbl>
    <w:p w:rsidR="007C7D94" w:rsidRDefault="007C7D94" w:rsidP="007C7D94">
      <w:pPr>
        <w:pStyle w:val="a0"/>
      </w:pPr>
      <w:r>
        <w:br w:type="page"/>
      </w:r>
    </w:p>
    <w:p w:rsidR="007C7D94" w:rsidRPr="00DC798A" w:rsidRDefault="007C7D94" w:rsidP="007C7D94">
      <w:pPr>
        <w:widowControl/>
        <w:spacing w:line="578" w:lineRule="exact"/>
        <w:jc w:val="center"/>
        <w:rPr>
          <w:rFonts w:eastAsia="方正小标宋_GBK"/>
          <w:sz w:val="44"/>
          <w:szCs w:val="44"/>
        </w:rPr>
      </w:pPr>
      <w:r w:rsidRPr="00DC798A">
        <w:rPr>
          <w:rFonts w:eastAsia="方正小标宋_GBK" w:hint="eastAsia"/>
          <w:sz w:val="44"/>
          <w:szCs w:val="44"/>
        </w:rPr>
        <w:lastRenderedPageBreak/>
        <w:t>2025</w:t>
      </w:r>
      <w:r w:rsidRPr="00DC798A">
        <w:rPr>
          <w:rFonts w:eastAsia="方正小标宋_GBK" w:hint="eastAsia"/>
          <w:sz w:val="44"/>
          <w:szCs w:val="44"/>
        </w:rPr>
        <w:t>年度</w:t>
      </w:r>
      <w:r w:rsidRPr="00DC798A">
        <w:rPr>
          <w:rFonts w:eastAsia="方正小标宋_GBK"/>
          <w:sz w:val="44"/>
          <w:szCs w:val="44"/>
        </w:rPr>
        <w:t>节能减排补助资金绩效目标表（</w:t>
      </w:r>
      <w:r w:rsidRPr="00DC798A">
        <w:rPr>
          <w:rFonts w:eastAsia="方正小标宋_GBK" w:hint="eastAsia"/>
          <w:sz w:val="44"/>
          <w:szCs w:val="44"/>
        </w:rPr>
        <w:t>县域</w:t>
      </w:r>
      <w:r w:rsidRPr="00DC798A">
        <w:rPr>
          <w:rFonts w:eastAsia="方正小标宋_GBK"/>
          <w:sz w:val="44"/>
          <w:szCs w:val="44"/>
        </w:rPr>
        <w:t>补短板试点）</w:t>
      </w:r>
    </w:p>
    <w:p w:rsidR="007C7D94" w:rsidRPr="00DC798A" w:rsidRDefault="007C7D94" w:rsidP="007C7D94">
      <w:pPr>
        <w:pStyle w:val="af1"/>
        <w:spacing w:line="578" w:lineRule="exact"/>
        <w:ind w:firstLineChars="0" w:firstLine="0"/>
        <w:jc w:val="center"/>
        <w:rPr>
          <w:szCs w:val="32"/>
        </w:rPr>
      </w:pPr>
      <w:r w:rsidRPr="00DC798A">
        <w:rPr>
          <w:rFonts w:eastAsia="方正楷体_GBK" w:hint="eastAsia"/>
        </w:rPr>
        <w:t>（垫江县）</w:t>
      </w:r>
    </w:p>
    <w:tbl>
      <w:tblPr>
        <w:tblW w:w="9776" w:type="dxa"/>
        <w:jc w:val="center"/>
        <w:tblLook w:val="04A0" w:firstRow="1" w:lastRow="0" w:firstColumn="1" w:lastColumn="0" w:noHBand="0" w:noVBand="1"/>
      </w:tblPr>
      <w:tblGrid>
        <w:gridCol w:w="582"/>
        <w:gridCol w:w="958"/>
        <w:gridCol w:w="1136"/>
        <w:gridCol w:w="4690"/>
        <w:gridCol w:w="2410"/>
      </w:tblGrid>
      <w:tr w:rsidR="007C7D94" w:rsidRPr="00DC798A" w:rsidTr="00F56E48">
        <w:trPr>
          <w:trHeight w:val="444"/>
          <w:jc w:val="center"/>
        </w:trPr>
        <w:tc>
          <w:tcPr>
            <w:tcW w:w="1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项目名称</w:t>
            </w:r>
          </w:p>
        </w:tc>
        <w:tc>
          <w:tcPr>
            <w:tcW w:w="8236" w:type="dxa"/>
            <w:gridSpan w:val="3"/>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节能减排补助资金</w:t>
            </w:r>
          </w:p>
        </w:tc>
      </w:tr>
      <w:tr w:rsidR="007C7D94" w:rsidRPr="00DC798A" w:rsidTr="00F56E48">
        <w:trPr>
          <w:trHeight w:val="444"/>
          <w:jc w:val="center"/>
        </w:trPr>
        <w:tc>
          <w:tcPr>
            <w:tcW w:w="1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主管部门</w:t>
            </w:r>
          </w:p>
        </w:tc>
        <w:tc>
          <w:tcPr>
            <w:tcW w:w="8236" w:type="dxa"/>
            <w:gridSpan w:val="3"/>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垫江县经济和信息化委员会、交通运输委员会、财政局</w:t>
            </w:r>
          </w:p>
        </w:tc>
      </w:tr>
      <w:tr w:rsidR="007C7D94" w:rsidRPr="00DC798A" w:rsidTr="00F56E48">
        <w:trPr>
          <w:trHeight w:val="444"/>
          <w:jc w:val="center"/>
        </w:trPr>
        <w:tc>
          <w:tcPr>
            <w:tcW w:w="154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项目资金</w:t>
            </w:r>
            <w:r w:rsidRPr="00DC798A">
              <w:rPr>
                <w:rFonts w:cs="宋体" w:hint="eastAsia"/>
                <w:sz w:val="24"/>
                <w:szCs w:val="24"/>
              </w:rPr>
              <w:br/>
            </w:r>
            <w:r w:rsidRPr="00DC798A">
              <w:rPr>
                <w:rFonts w:cs="宋体" w:hint="eastAsia"/>
                <w:sz w:val="24"/>
                <w:szCs w:val="24"/>
              </w:rPr>
              <w:t>（万元）</w:t>
            </w:r>
          </w:p>
        </w:tc>
        <w:tc>
          <w:tcPr>
            <w:tcW w:w="58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年度资金总额：</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C7D94" w:rsidRPr="00DC798A" w:rsidRDefault="007C7D94" w:rsidP="00F56E48">
            <w:pPr>
              <w:widowControl/>
              <w:spacing w:line="360" w:lineRule="exact"/>
              <w:jc w:val="center"/>
              <w:rPr>
                <w:rFonts w:eastAsia="等线"/>
                <w:sz w:val="24"/>
                <w:szCs w:val="24"/>
              </w:rPr>
            </w:pPr>
            <w:r w:rsidRPr="00DC798A">
              <w:rPr>
                <w:rFonts w:eastAsia="等线"/>
                <w:sz w:val="24"/>
                <w:szCs w:val="24"/>
              </w:rPr>
              <w:t>3960</w:t>
            </w:r>
          </w:p>
        </w:tc>
      </w:tr>
      <w:tr w:rsidR="007C7D94" w:rsidRPr="00DC798A" w:rsidTr="00F56E48">
        <w:trPr>
          <w:trHeight w:val="444"/>
          <w:jc w:val="center"/>
        </w:trPr>
        <w:tc>
          <w:tcPr>
            <w:tcW w:w="1540" w:type="dxa"/>
            <w:gridSpan w:val="2"/>
            <w:vMerge/>
            <w:tcBorders>
              <w:top w:val="single" w:sz="4" w:space="0" w:color="auto"/>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58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其中：本年一般公共预算拨款</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C7D94" w:rsidRPr="00DC798A" w:rsidRDefault="007C7D94" w:rsidP="00F56E48">
            <w:pPr>
              <w:widowControl/>
              <w:spacing w:line="360" w:lineRule="exact"/>
              <w:jc w:val="center"/>
              <w:rPr>
                <w:rFonts w:eastAsia="等线"/>
                <w:sz w:val="24"/>
                <w:szCs w:val="24"/>
              </w:rPr>
            </w:pPr>
            <w:r w:rsidRPr="00DC798A">
              <w:rPr>
                <w:rFonts w:eastAsia="等线"/>
                <w:sz w:val="24"/>
                <w:szCs w:val="24"/>
              </w:rPr>
              <w:t>3960</w:t>
            </w:r>
          </w:p>
        </w:tc>
      </w:tr>
      <w:tr w:rsidR="007C7D94" w:rsidRPr="00DC798A" w:rsidTr="00F56E48">
        <w:trPr>
          <w:trHeight w:val="444"/>
          <w:jc w:val="center"/>
        </w:trPr>
        <w:tc>
          <w:tcPr>
            <w:tcW w:w="1540" w:type="dxa"/>
            <w:gridSpan w:val="2"/>
            <w:vMerge/>
            <w:tcBorders>
              <w:top w:val="single" w:sz="4" w:space="0" w:color="auto"/>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58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其他资金</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right"/>
              <w:rPr>
                <w:rFonts w:cs="宋体"/>
                <w:sz w:val="24"/>
                <w:szCs w:val="24"/>
              </w:rPr>
            </w:pPr>
            <w:r w:rsidRPr="00DC798A">
              <w:rPr>
                <w:rFonts w:cs="宋体" w:hint="eastAsia"/>
                <w:sz w:val="24"/>
                <w:szCs w:val="24"/>
              </w:rPr>
              <w:t xml:space="preserve">　</w:t>
            </w:r>
          </w:p>
        </w:tc>
      </w:tr>
      <w:tr w:rsidR="007C7D94" w:rsidRPr="00DC798A" w:rsidTr="00F56E48">
        <w:trPr>
          <w:trHeight w:val="720"/>
          <w:jc w:val="center"/>
        </w:trPr>
        <w:tc>
          <w:tcPr>
            <w:tcW w:w="582" w:type="dxa"/>
            <w:vMerge w:val="restart"/>
            <w:tcBorders>
              <w:top w:val="nil"/>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总</w:t>
            </w:r>
            <w:r w:rsidRPr="00DC798A">
              <w:rPr>
                <w:rFonts w:eastAsia="黑体" w:cs="宋体" w:hint="eastAsia"/>
                <w:sz w:val="24"/>
                <w:szCs w:val="24"/>
              </w:rPr>
              <w:br/>
            </w:r>
            <w:r w:rsidRPr="00DC798A">
              <w:rPr>
                <w:rFonts w:eastAsia="黑体" w:cs="宋体" w:hint="eastAsia"/>
                <w:sz w:val="24"/>
                <w:szCs w:val="24"/>
              </w:rPr>
              <w:t>体</w:t>
            </w:r>
            <w:r w:rsidRPr="00DC798A">
              <w:rPr>
                <w:rFonts w:eastAsia="黑体" w:cs="宋体" w:hint="eastAsia"/>
                <w:sz w:val="24"/>
                <w:szCs w:val="24"/>
              </w:rPr>
              <w:br/>
            </w:r>
            <w:r w:rsidRPr="00DC798A">
              <w:rPr>
                <w:rFonts w:eastAsia="黑体" w:cs="宋体" w:hint="eastAsia"/>
                <w:sz w:val="24"/>
                <w:szCs w:val="24"/>
              </w:rPr>
              <w:t>目</w:t>
            </w:r>
            <w:r w:rsidRPr="00DC798A">
              <w:rPr>
                <w:rFonts w:eastAsia="黑体" w:cs="宋体" w:hint="eastAsia"/>
                <w:sz w:val="24"/>
                <w:szCs w:val="24"/>
              </w:rPr>
              <w:br/>
            </w:r>
            <w:r w:rsidRPr="00DC798A">
              <w:rPr>
                <w:rFonts w:eastAsia="黑体" w:cs="宋体" w:hint="eastAsia"/>
                <w:sz w:val="24"/>
                <w:szCs w:val="24"/>
              </w:rPr>
              <w:t>标</w:t>
            </w:r>
          </w:p>
        </w:tc>
        <w:tc>
          <w:tcPr>
            <w:tcW w:w="919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1.</w:t>
            </w:r>
            <w:r w:rsidRPr="00DC798A">
              <w:rPr>
                <w:rFonts w:cs="宋体" w:hint="eastAsia"/>
                <w:sz w:val="24"/>
                <w:szCs w:val="24"/>
              </w:rPr>
              <w:t>支持提升农村地区“薄弱环节”的公共充换电服务保障能力，激发试点县及周边地区新能源汽车消费潜力；</w:t>
            </w:r>
            <w:r w:rsidRPr="00DC798A">
              <w:rPr>
                <w:rFonts w:cs="宋体" w:hint="eastAsia"/>
                <w:sz w:val="24"/>
                <w:szCs w:val="24"/>
              </w:rPr>
              <w:br/>
              <w:t>2.</w:t>
            </w:r>
            <w:r w:rsidRPr="00DC798A">
              <w:rPr>
                <w:rFonts w:cs="宋体" w:hint="eastAsia"/>
                <w:sz w:val="24"/>
                <w:szCs w:val="24"/>
              </w:rPr>
              <w:t>培育符合试点县及周边地区新能源汽车发展特点的充换电应用场景，完善提升县级邮政快递网点、农村物流节点、农村客货运场站、</w:t>
            </w:r>
            <w:r w:rsidRPr="00DC798A">
              <w:rPr>
                <w:rFonts w:cs="宋体" w:hint="eastAsia"/>
                <w:sz w:val="24"/>
                <w:szCs w:val="24"/>
              </w:rPr>
              <w:t>3A</w:t>
            </w:r>
            <w:r w:rsidRPr="00DC798A">
              <w:rPr>
                <w:rFonts w:cs="宋体" w:hint="eastAsia"/>
                <w:sz w:val="24"/>
                <w:szCs w:val="24"/>
              </w:rPr>
              <w:t>级及以下旅游景区、农村公路沿线、交通综合服务站等适宜新能源汽车充电场景的服务保障能力；</w:t>
            </w:r>
            <w:r w:rsidRPr="00DC798A">
              <w:rPr>
                <w:rFonts w:cs="宋体" w:hint="eastAsia"/>
                <w:sz w:val="24"/>
                <w:szCs w:val="24"/>
              </w:rPr>
              <w:br/>
              <w:t>3.</w:t>
            </w:r>
            <w:r w:rsidRPr="00DC798A">
              <w:rPr>
                <w:rFonts w:cs="宋体" w:hint="eastAsia"/>
                <w:sz w:val="24"/>
                <w:szCs w:val="24"/>
              </w:rPr>
              <w:t>培育新技术新模式在农村地区的推广应用。</w:t>
            </w:r>
          </w:p>
        </w:tc>
      </w:tr>
      <w:tr w:rsidR="007C7D94" w:rsidRPr="00DC798A" w:rsidTr="00F56E48">
        <w:trPr>
          <w:trHeight w:val="1692"/>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194" w:type="dxa"/>
            <w:gridSpan w:val="4"/>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r>
      <w:tr w:rsidR="007C7D94" w:rsidRPr="00DC798A" w:rsidTr="00F56E48">
        <w:trPr>
          <w:trHeight w:val="720"/>
          <w:jc w:val="center"/>
        </w:trPr>
        <w:tc>
          <w:tcPr>
            <w:tcW w:w="582"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绩效指标</w:t>
            </w:r>
          </w:p>
        </w:tc>
        <w:tc>
          <w:tcPr>
            <w:tcW w:w="958" w:type="dxa"/>
            <w:tcBorders>
              <w:top w:val="nil"/>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一级指标</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二级指标</w:t>
            </w:r>
          </w:p>
        </w:tc>
        <w:tc>
          <w:tcPr>
            <w:tcW w:w="469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三级指标</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指标值</w:t>
            </w:r>
          </w:p>
        </w:tc>
      </w:tr>
      <w:tr w:rsidR="007C7D94" w:rsidRPr="00DC798A" w:rsidTr="00F56E48">
        <w:trPr>
          <w:trHeight w:val="801"/>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tcBorders>
              <w:top w:val="single" w:sz="4" w:space="0" w:color="auto"/>
              <w:left w:val="single" w:sz="4" w:space="0" w:color="auto"/>
              <w:bottom w:val="nil"/>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成本指标</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经济成本指标</w:t>
            </w: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 xml:space="preserve"> </w:t>
            </w:r>
            <w:r w:rsidRPr="00DC798A">
              <w:rPr>
                <w:rFonts w:cs="宋体" w:hint="eastAsia"/>
                <w:sz w:val="24"/>
                <w:szCs w:val="24"/>
              </w:rPr>
              <w:t>项目投资成本（万元）</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w:t>
            </w:r>
            <w:r w:rsidRPr="00DC798A">
              <w:rPr>
                <w:rFonts w:cs="宋体" w:hint="eastAsia"/>
                <w:sz w:val="24"/>
                <w:szCs w:val="24"/>
              </w:rPr>
              <w:t>5100</w:t>
            </w:r>
          </w:p>
        </w:tc>
      </w:tr>
      <w:tr w:rsidR="007C7D94" w:rsidRPr="00DC798A" w:rsidTr="00F56E48">
        <w:trPr>
          <w:trHeight w:val="999"/>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产出指标</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数量指标</w:t>
            </w: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rPr>
                <w:rFonts w:cs="宋体"/>
                <w:sz w:val="24"/>
                <w:szCs w:val="24"/>
              </w:rPr>
            </w:pPr>
            <w:r w:rsidRPr="00DC798A">
              <w:rPr>
                <w:rFonts w:cs="宋体" w:hint="eastAsia"/>
                <w:sz w:val="24"/>
                <w:szCs w:val="24"/>
              </w:rPr>
              <w:t>第一档地区年度功率利用率</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w:t>
            </w:r>
            <w:r w:rsidRPr="00DC798A">
              <w:rPr>
                <w:rFonts w:cs="宋体" w:hint="eastAsia"/>
                <w:sz w:val="24"/>
                <w:szCs w:val="24"/>
              </w:rPr>
              <w:t>5.0%</w:t>
            </w:r>
            <w:r w:rsidRPr="00DC798A">
              <w:rPr>
                <w:rFonts w:cs="宋体" w:hint="eastAsia"/>
                <w:sz w:val="24"/>
                <w:szCs w:val="24"/>
              </w:rPr>
              <w:t>（</w:t>
            </w:r>
            <w:r w:rsidRPr="00DC798A">
              <w:rPr>
                <w:rFonts w:cs="宋体" w:hint="eastAsia"/>
                <w:sz w:val="24"/>
                <w:szCs w:val="24"/>
              </w:rPr>
              <w:t>2025</w:t>
            </w:r>
            <w:r w:rsidRPr="00DC798A">
              <w:rPr>
                <w:rFonts w:cs="宋体" w:hint="eastAsia"/>
                <w:sz w:val="24"/>
                <w:szCs w:val="24"/>
              </w:rPr>
              <w:t>年）</w:t>
            </w:r>
            <w:r w:rsidRPr="00DC798A">
              <w:rPr>
                <w:rFonts w:cs="宋体" w:hint="eastAsia"/>
                <w:sz w:val="24"/>
                <w:szCs w:val="24"/>
              </w:rPr>
              <w:br/>
            </w:r>
            <w:r w:rsidRPr="00DC798A">
              <w:rPr>
                <w:rFonts w:cs="宋体" w:hint="eastAsia"/>
                <w:sz w:val="24"/>
                <w:szCs w:val="24"/>
              </w:rPr>
              <w:t>≥</w:t>
            </w:r>
            <w:r w:rsidRPr="00DC798A">
              <w:rPr>
                <w:rFonts w:cs="宋体" w:hint="eastAsia"/>
                <w:sz w:val="24"/>
                <w:szCs w:val="24"/>
              </w:rPr>
              <w:t>5.5%</w:t>
            </w:r>
            <w:r w:rsidRPr="00DC798A">
              <w:rPr>
                <w:rFonts w:cs="宋体" w:hint="eastAsia"/>
                <w:sz w:val="24"/>
                <w:szCs w:val="24"/>
              </w:rPr>
              <w:t>（</w:t>
            </w:r>
            <w:r w:rsidRPr="00DC798A">
              <w:rPr>
                <w:rFonts w:cs="宋体" w:hint="eastAsia"/>
                <w:sz w:val="24"/>
                <w:szCs w:val="24"/>
              </w:rPr>
              <w:t>2026</w:t>
            </w:r>
            <w:r w:rsidRPr="00DC798A">
              <w:rPr>
                <w:rFonts w:cs="宋体" w:hint="eastAsia"/>
                <w:sz w:val="24"/>
                <w:szCs w:val="24"/>
              </w:rPr>
              <w:t>年）</w:t>
            </w:r>
            <w:r w:rsidRPr="00DC798A">
              <w:rPr>
                <w:rFonts w:cs="宋体" w:hint="eastAsia"/>
                <w:sz w:val="24"/>
                <w:szCs w:val="24"/>
              </w:rPr>
              <w:br/>
            </w:r>
            <w:r w:rsidRPr="00DC798A">
              <w:rPr>
                <w:rFonts w:cs="宋体" w:hint="eastAsia"/>
                <w:sz w:val="24"/>
                <w:szCs w:val="24"/>
              </w:rPr>
              <w:t>≥</w:t>
            </w:r>
            <w:r w:rsidRPr="00DC798A">
              <w:rPr>
                <w:rFonts w:cs="宋体" w:hint="eastAsia"/>
                <w:sz w:val="24"/>
                <w:szCs w:val="24"/>
              </w:rPr>
              <w:t>6.0%</w:t>
            </w:r>
            <w:r w:rsidRPr="00DC798A">
              <w:rPr>
                <w:rFonts w:cs="宋体" w:hint="eastAsia"/>
                <w:sz w:val="24"/>
                <w:szCs w:val="24"/>
              </w:rPr>
              <w:t>（</w:t>
            </w:r>
            <w:r w:rsidRPr="00DC798A">
              <w:rPr>
                <w:rFonts w:cs="宋体" w:hint="eastAsia"/>
                <w:sz w:val="24"/>
                <w:szCs w:val="24"/>
              </w:rPr>
              <w:t>2027</w:t>
            </w:r>
            <w:r w:rsidRPr="00DC798A">
              <w:rPr>
                <w:rFonts w:cs="宋体" w:hint="eastAsia"/>
                <w:sz w:val="24"/>
                <w:szCs w:val="24"/>
              </w:rPr>
              <w:t>年）</w:t>
            </w:r>
          </w:p>
        </w:tc>
      </w:tr>
      <w:tr w:rsidR="007C7D94" w:rsidRPr="00DC798A" w:rsidTr="00F56E48">
        <w:trPr>
          <w:trHeight w:val="648"/>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质量指标</w:t>
            </w: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中央财政奖励资金用于符合试点政策要求的充换电基础设施比例</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试点县新建充换电基础设施应面向全社会开放比例</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试点县新建充换电基础设施可用率</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w:t>
            </w:r>
            <w:r w:rsidRPr="00DC798A">
              <w:rPr>
                <w:rFonts w:cs="宋体" w:hint="eastAsia"/>
                <w:sz w:val="24"/>
                <w:szCs w:val="24"/>
              </w:rPr>
              <w:t>99%</w:t>
            </w:r>
          </w:p>
        </w:tc>
      </w:tr>
      <w:tr w:rsidR="007C7D94" w:rsidRPr="00DC798A" w:rsidTr="00F56E48">
        <w:trPr>
          <w:trHeight w:val="648"/>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试点县新建充换电基础设施额定功率大于等于</w:t>
            </w:r>
            <w:r w:rsidRPr="00DC798A">
              <w:rPr>
                <w:rFonts w:cs="宋体" w:hint="eastAsia"/>
                <w:sz w:val="24"/>
                <w:szCs w:val="24"/>
              </w:rPr>
              <w:t>120kW</w:t>
            </w:r>
            <w:r w:rsidRPr="00DC798A">
              <w:rPr>
                <w:rFonts w:cs="宋体" w:hint="eastAsia"/>
                <w:sz w:val="24"/>
                <w:szCs w:val="24"/>
              </w:rPr>
              <w:t>比例</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新建充换电设施接入新能源汽车公共充换电基础设施奖励资金清算平台的比例</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rPr>
                <w:rFonts w:cs="宋体"/>
                <w:sz w:val="24"/>
                <w:szCs w:val="24"/>
              </w:rPr>
            </w:pPr>
            <w:r w:rsidRPr="00DC798A">
              <w:rPr>
                <w:rFonts w:cs="宋体" w:hint="eastAsia"/>
                <w:sz w:val="24"/>
                <w:szCs w:val="24"/>
              </w:rPr>
              <w:t>充换电设施支持管理政策体系</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有所完善</w:t>
            </w:r>
          </w:p>
        </w:tc>
      </w:tr>
      <w:tr w:rsidR="007C7D94" w:rsidRPr="00DC798A" w:rsidTr="00F56E48">
        <w:trPr>
          <w:trHeight w:val="648"/>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时效指标</w:t>
            </w: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rPr>
                <w:rFonts w:cs="宋体"/>
                <w:sz w:val="24"/>
                <w:szCs w:val="24"/>
              </w:rPr>
            </w:pPr>
            <w:r w:rsidRPr="00DC798A">
              <w:rPr>
                <w:rFonts w:cs="宋体" w:hint="eastAsia"/>
                <w:sz w:val="24"/>
                <w:szCs w:val="24"/>
              </w:rPr>
              <w:t>年度新建充换电设施数量（台）目标</w:t>
            </w:r>
            <w:r w:rsidRPr="00DC798A">
              <w:rPr>
                <w:rFonts w:cs="宋体" w:hint="eastAsia"/>
                <w:sz w:val="24"/>
                <w:szCs w:val="24"/>
              </w:rPr>
              <w:t>(</w:t>
            </w:r>
            <w:r w:rsidRPr="00DC798A">
              <w:rPr>
                <w:rFonts w:cs="宋体" w:hint="eastAsia"/>
                <w:sz w:val="24"/>
                <w:szCs w:val="24"/>
              </w:rPr>
              <w:t>标准桩</w:t>
            </w:r>
            <w:r w:rsidRPr="00DC798A">
              <w:rPr>
                <w:rFonts w:cs="宋体" w:hint="eastAsia"/>
                <w:sz w:val="24"/>
                <w:szCs w:val="24"/>
              </w:rPr>
              <w:t>)</w:t>
            </w:r>
            <w:r w:rsidRPr="00DC798A">
              <w:rPr>
                <w:rFonts w:cs="宋体" w:hint="eastAsia"/>
                <w:sz w:val="24"/>
                <w:szCs w:val="24"/>
              </w:rPr>
              <w:t>完成率</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年度新建充换电设施总功率（千瓦）目标完成率</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430"/>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年度新技术新模式任务目标完成率</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100%</w:t>
            </w:r>
          </w:p>
        </w:tc>
      </w:tr>
      <w:tr w:rsidR="007C7D94" w:rsidRPr="00DC798A" w:rsidTr="00F56E48">
        <w:trPr>
          <w:trHeight w:val="648"/>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效益指标</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经济效益指标</w:t>
            </w:r>
          </w:p>
        </w:tc>
        <w:tc>
          <w:tcPr>
            <w:tcW w:w="469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新能源汽车渗透率</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明显提升</w:t>
            </w:r>
          </w:p>
        </w:tc>
      </w:tr>
      <w:tr w:rsidR="007C7D94" w:rsidRPr="00DC798A" w:rsidTr="00F56E48">
        <w:trPr>
          <w:trHeight w:val="648"/>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nil"/>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社会效益指标</w:t>
            </w: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方便县域新能源汽车充电用户数</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显著提升</w:t>
            </w:r>
          </w:p>
        </w:tc>
      </w:tr>
      <w:tr w:rsidR="007C7D94" w:rsidRPr="00DC798A" w:rsidTr="00F56E48">
        <w:trPr>
          <w:trHeight w:val="1032"/>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nil"/>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县级邮政快递网点、农村物流节点、农村客货运场站（包括乡镇运输服务站、农村客货邮站点等）、交通综合服务站等场景覆盖率</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显著提升</w:t>
            </w:r>
          </w:p>
        </w:tc>
      </w:tr>
      <w:tr w:rsidR="007C7D94" w:rsidRPr="00DC798A" w:rsidTr="00F56E48">
        <w:trPr>
          <w:trHeight w:val="888"/>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nil"/>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充换电基础设施与高速公路出入口（</w:t>
            </w:r>
            <w:r w:rsidRPr="00DC798A">
              <w:rPr>
                <w:rFonts w:cs="宋体" w:hint="eastAsia"/>
                <w:sz w:val="24"/>
                <w:szCs w:val="24"/>
              </w:rPr>
              <w:t>3km</w:t>
            </w:r>
            <w:r w:rsidRPr="00DC798A">
              <w:rPr>
                <w:rFonts w:cs="宋体" w:hint="eastAsia"/>
                <w:sz w:val="24"/>
                <w:szCs w:val="24"/>
              </w:rPr>
              <w:t>范围内）、“四好农村路”等衔接情况</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有所改善</w:t>
            </w:r>
          </w:p>
        </w:tc>
      </w:tr>
      <w:tr w:rsidR="007C7D94" w:rsidRPr="00DC798A" w:rsidTr="00F56E48">
        <w:trPr>
          <w:trHeight w:val="785"/>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nil"/>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生态效益指标</w:t>
            </w:r>
          </w:p>
        </w:tc>
        <w:tc>
          <w:tcPr>
            <w:tcW w:w="469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节能减排效果</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有所提升</w:t>
            </w:r>
          </w:p>
        </w:tc>
      </w:tr>
      <w:tr w:rsidR="007C7D94" w:rsidRPr="00DC798A" w:rsidTr="00F56E48">
        <w:trPr>
          <w:trHeight w:val="624"/>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nil"/>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可持续影响指标</w:t>
            </w: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试点期间新建充换电设施可持续运营年限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w:t>
            </w:r>
            <w:r w:rsidRPr="00DC798A">
              <w:rPr>
                <w:rFonts w:cs="宋体" w:hint="eastAsia"/>
                <w:sz w:val="24"/>
                <w:szCs w:val="24"/>
              </w:rPr>
              <w:t>6</w:t>
            </w:r>
            <w:r w:rsidRPr="00DC798A">
              <w:rPr>
                <w:rFonts w:cs="宋体" w:hint="eastAsia"/>
                <w:sz w:val="24"/>
                <w:szCs w:val="24"/>
              </w:rPr>
              <w:t>年</w:t>
            </w:r>
          </w:p>
        </w:tc>
      </w:tr>
      <w:tr w:rsidR="007C7D94" w:rsidRPr="00DC798A" w:rsidTr="00F56E48">
        <w:trPr>
          <w:trHeight w:val="624"/>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vMerge/>
            <w:tcBorders>
              <w:top w:val="nil"/>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7C7D94" w:rsidRPr="00DC798A" w:rsidRDefault="007C7D94" w:rsidP="00F56E48">
            <w:pPr>
              <w:widowControl/>
              <w:spacing w:line="360" w:lineRule="exact"/>
              <w:jc w:val="left"/>
              <w:rPr>
                <w:rFonts w:cs="宋体"/>
                <w:sz w:val="24"/>
                <w:szCs w:val="24"/>
              </w:rPr>
            </w:pPr>
          </w:p>
        </w:tc>
        <w:tc>
          <w:tcPr>
            <w:tcW w:w="4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试点期间试点县充换电设施空间布局整体合理性</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有所提升</w:t>
            </w:r>
          </w:p>
        </w:tc>
      </w:tr>
      <w:tr w:rsidR="007C7D94" w:rsidRPr="00DC798A" w:rsidTr="00F56E48">
        <w:trPr>
          <w:trHeight w:val="624"/>
          <w:jc w:val="center"/>
        </w:trPr>
        <w:tc>
          <w:tcPr>
            <w:tcW w:w="582" w:type="dxa"/>
            <w:vMerge/>
            <w:tcBorders>
              <w:top w:val="nil"/>
              <w:left w:val="single" w:sz="4" w:space="0" w:color="auto"/>
              <w:bottom w:val="single" w:sz="4" w:space="0" w:color="auto"/>
              <w:right w:val="single" w:sz="4" w:space="0" w:color="auto"/>
            </w:tcBorders>
            <w:vAlign w:val="center"/>
            <w:hideMark/>
          </w:tcPr>
          <w:p w:rsidR="007C7D94" w:rsidRPr="00DC798A" w:rsidRDefault="007C7D94" w:rsidP="00F56E48">
            <w:pPr>
              <w:widowControl/>
              <w:spacing w:line="360" w:lineRule="exact"/>
              <w:jc w:val="left"/>
              <w:rPr>
                <w:rFonts w:eastAsia="黑体" w:cs="宋体"/>
                <w:sz w:val="24"/>
                <w:szCs w:val="24"/>
              </w:rPr>
            </w:pP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eastAsia="黑体" w:cs="宋体"/>
                <w:sz w:val="24"/>
                <w:szCs w:val="24"/>
              </w:rPr>
            </w:pPr>
            <w:r w:rsidRPr="00DC798A">
              <w:rPr>
                <w:rFonts w:eastAsia="黑体" w:cs="宋体" w:hint="eastAsia"/>
                <w:sz w:val="24"/>
                <w:szCs w:val="24"/>
              </w:rPr>
              <w:t>满意度指标</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服务对象满意度</w:t>
            </w:r>
          </w:p>
        </w:tc>
        <w:tc>
          <w:tcPr>
            <w:tcW w:w="4690" w:type="dxa"/>
            <w:tcBorders>
              <w:top w:val="nil"/>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left"/>
              <w:rPr>
                <w:rFonts w:cs="宋体"/>
                <w:sz w:val="24"/>
                <w:szCs w:val="24"/>
              </w:rPr>
            </w:pPr>
            <w:r w:rsidRPr="00DC798A">
              <w:rPr>
                <w:rFonts w:cs="宋体" w:hint="eastAsia"/>
                <w:sz w:val="24"/>
                <w:szCs w:val="24"/>
              </w:rPr>
              <w:t>受益群众满意度</w:t>
            </w:r>
          </w:p>
        </w:tc>
        <w:tc>
          <w:tcPr>
            <w:tcW w:w="2410" w:type="dxa"/>
            <w:tcBorders>
              <w:top w:val="nil"/>
              <w:left w:val="nil"/>
              <w:bottom w:val="single" w:sz="4" w:space="0" w:color="auto"/>
              <w:right w:val="single" w:sz="4" w:space="0" w:color="auto"/>
            </w:tcBorders>
            <w:shd w:val="clear" w:color="000000" w:fill="FFFFFF"/>
            <w:vAlign w:val="center"/>
            <w:hideMark/>
          </w:tcPr>
          <w:p w:rsidR="007C7D94" w:rsidRPr="00DC798A" w:rsidRDefault="007C7D94" w:rsidP="00F56E48">
            <w:pPr>
              <w:widowControl/>
              <w:spacing w:line="360" w:lineRule="exact"/>
              <w:jc w:val="center"/>
              <w:rPr>
                <w:rFonts w:cs="宋体"/>
                <w:sz w:val="24"/>
                <w:szCs w:val="24"/>
              </w:rPr>
            </w:pPr>
            <w:r w:rsidRPr="00DC798A">
              <w:rPr>
                <w:rFonts w:cs="宋体" w:hint="eastAsia"/>
                <w:sz w:val="24"/>
                <w:szCs w:val="24"/>
              </w:rPr>
              <w:t>≥</w:t>
            </w:r>
            <w:r w:rsidRPr="00DC798A">
              <w:rPr>
                <w:rFonts w:cs="宋体" w:hint="eastAsia"/>
                <w:sz w:val="24"/>
                <w:szCs w:val="24"/>
              </w:rPr>
              <w:t>90%</w:t>
            </w:r>
          </w:p>
        </w:tc>
      </w:tr>
    </w:tbl>
    <w:p w:rsidR="007C7D94" w:rsidRPr="00DC798A" w:rsidRDefault="007C7D94" w:rsidP="007C7D94">
      <w:pPr>
        <w:spacing w:line="560" w:lineRule="exact"/>
        <w:ind w:firstLineChars="200" w:firstLine="640"/>
      </w:pPr>
    </w:p>
    <w:p w:rsidR="007C7D94" w:rsidRPr="007C7D94" w:rsidRDefault="007C7D94" w:rsidP="007C7D94">
      <w:pPr>
        <w:pStyle w:val="a0"/>
        <w:rPr>
          <w:rFonts w:hint="eastAsia"/>
        </w:rPr>
      </w:pPr>
    </w:p>
    <w:sectPr w:rsidR="007C7D94" w:rsidRPr="007C7D94"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AF" w:rsidRDefault="008605AF">
      <w:pPr>
        <w:spacing w:line="240" w:lineRule="auto"/>
      </w:pPr>
      <w:r>
        <w:separator/>
      </w:r>
    </w:p>
  </w:endnote>
  <w:endnote w:type="continuationSeparator" w:id="0">
    <w:p w:rsidR="008605AF" w:rsidRDefault="00860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C7771574-47FF-40FC-87A0-BBC6F9BC130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embedRegular r:id="rId2" w:subsetted="1" w:fontKey="{04422D82-FDFE-4ADF-B0A1-9572DEF2D40B}"/>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3" w:subsetted="1" w:fontKey="{B6B31D80-97D3-4636-9030-A10A19EDF25C}"/>
  </w:font>
  <w:font w:name="楷体">
    <w:charset w:val="86"/>
    <w:family w:val="modern"/>
    <w:pitch w:val="fixed"/>
    <w:sig w:usb0="800002BF" w:usb1="38CF7CFA" w:usb2="00000016" w:usb3="00000000" w:csb0="00040001" w:csb1="00000000"/>
    <w:embedRegular r:id="rId4" w:subsetted="1" w:fontKey="{D9000CD2-417F-4C3B-B966-B72C07A9FAD7}"/>
  </w:font>
  <w:font w:name="方正黑体_GBK">
    <w:altName w:val="等线"/>
    <w:charset w:val="86"/>
    <w:family w:val="script"/>
    <w:pitch w:val="fixed"/>
    <w:sig w:usb0="00000000"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Cambria">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7D9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7D9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AF" w:rsidRDefault="008605AF">
      <w:pPr>
        <w:spacing w:line="240" w:lineRule="auto"/>
      </w:pPr>
      <w:r>
        <w:separator/>
      </w:r>
    </w:p>
  </w:footnote>
  <w:footnote w:type="continuationSeparator" w:id="0">
    <w:p w:rsidR="008605AF" w:rsidRDefault="00860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504F6"/>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621CC"/>
    <w:rsid w:val="00DA5409"/>
    <w:rsid w:val="00DB2465"/>
    <w:rsid w:val="00DB4289"/>
    <w:rsid w:val="00DC008F"/>
    <w:rsid w:val="00DC0D7E"/>
    <w:rsid w:val="00DC5A29"/>
    <w:rsid w:val="00DC753A"/>
    <w:rsid w:val="00DE3B57"/>
    <w:rsid w:val="00DE5B1C"/>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C2A7F"/>
    <w:rsid w:val="00EF44DC"/>
    <w:rsid w:val="00F0546A"/>
    <w:rsid w:val="00F1009F"/>
    <w:rsid w:val="00F36C4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6FCA1"/>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 w:type="paragraph" w:styleId="af1">
    <w:name w:val="Normal Indent"/>
    <w:basedOn w:val="a"/>
    <w:uiPriority w:val="99"/>
    <w:unhideWhenUsed/>
    <w:rsid w:val="007C7D94"/>
    <w:pPr>
      <w:adjustRightInd/>
      <w:spacing w:line="240" w:lineRule="auto"/>
      <w:ind w:firstLineChars="200" w:firstLine="420"/>
      <w:textAlignment w:val="auto"/>
    </w:pPr>
    <w:rPr>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2025-05-13T03:25:00Z</dcterms:created>
  <dcterms:modified xsi:type="dcterms:W3CDTF">2025-05-13T03:25:00Z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