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7F" w:rsidRDefault="00EC2A7F" w:rsidP="00EC2A7F">
      <w:pPr>
        <w:spacing w:line="578" w:lineRule="exact"/>
        <w:ind w:firstLineChars="200" w:firstLine="880"/>
        <w:rPr>
          <w:rFonts w:eastAsia="方正小标宋_GBK"/>
          <w:sz w:val="44"/>
          <w:szCs w:val="44"/>
        </w:rPr>
      </w:pPr>
    </w:p>
    <w:p w:rsidR="00720F24" w:rsidRPr="00725A0E" w:rsidRDefault="00720F24" w:rsidP="00720F24">
      <w:pPr>
        <w:spacing w:line="578" w:lineRule="exact"/>
        <w:jc w:val="center"/>
        <w:rPr>
          <w:rFonts w:eastAsia="方正小标宋_GBK"/>
          <w:sz w:val="44"/>
          <w:szCs w:val="44"/>
        </w:rPr>
      </w:pPr>
      <w:r w:rsidRPr="00725A0E">
        <w:rPr>
          <w:rFonts w:eastAsia="方正小标宋_GBK" w:hint="eastAsia"/>
          <w:sz w:val="44"/>
          <w:szCs w:val="44"/>
        </w:rPr>
        <w:t>重庆市财政局关于做好</w:t>
      </w:r>
      <w:r w:rsidRPr="00725A0E">
        <w:rPr>
          <w:rFonts w:eastAsia="方正小标宋_GBK" w:hint="eastAsia"/>
          <w:sz w:val="44"/>
          <w:szCs w:val="44"/>
        </w:rPr>
        <w:t>2024</w:t>
      </w:r>
      <w:r w:rsidRPr="00725A0E">
        <w:rPr>
          <w:rFonts w:eastAsia="方正小标宋_GBK" w:hint="eastAsia"/>
          <w:sz w:val="44"/>
          <w:szCs w:val="44"/>
        </w:rPr>
        <w:t>年度</w:t>
      </w:r>
    </w:p>
    <w:p w:rsidR="00720F24" w:rsidRPr="00725A0E" w:rsidRDefault="00720F24" w:rsidP="00720F24">
      <w:pPr>
        <w:spacing w:line="578" w:lineRule="exact"/>
        <w:jc w:val="center"/>
        <w:rPr>
          <w:rFonts w:eastAsia="方正小标宋_GBK"/>
          <w:sz w:val="44"/>
          <w:szCs w:val="44"/>
        </w:rPr>
      </w:pPr>
      <w:r w:rsidRPr="00725A0E">
        <w:rPr>
          <w:rFonts w:eastAsia="方正小标宋_GBK" w:hint="eastAsia"/>
          <w:sz w:val="44"/>
          <w:szCs w:val="44"/>
        </w:rPr>
        <w:t>金融企业财务决算报表及</w:t>
      </w:r>
      <w:r w:rsidRPr="00725A0E">
        <w:rPr>
          <w:rFonts w:eastAsia="方正小标宋_GBK" w:hint="eastAsia"/>
          <w:sz w:val="44"/>
          <w:szCs w:val="44"/>
        </w:rPr>
        <w:t>2025</w:t>
      </w:r>
      <w:r w:rsidRPr="00725A0E">
        <w:rPr>
          <w:rFonts w:eastAsia="方正小标宋_GBK" w:hint="eastAsia"/>
          <w:sz w:val="44"/>
          <w:szCs w:val="44"/>
        </w:rPr>
        <w:t>年金融企业</w:t>
      </w:r>
    </w:p>
    <w:p w:rsidR="00720F24" w:rsidRDefault="00720F24" w:rsidP="00720F24">
      <w:pPr>
        <w:spacing w:line="578" w:lineRule="exact"/>
        <w:jc w:val="center"/>
        <w:rPr>
          <w:rFonts w:eastAsia="方正小标宋_GBK"/>
          <w:sz w:val="44"/>
          <w:szCs w:val="44"/>
        </w:rPr>
      </w:pPr>
      <w:r w:rsidRPr="00725A0E">
        <w:rPr>
          <w:rFonts w:eastAsia="方正小标宋_GBK" w:hint="eastAsia"/>
          <w:sz w:val="44"/>
          <w:szCs w:val="44"/>
        </w:rPr>
        <w:t>财务快报编制工作的通知</w:t>
      </w:r>
    </w:p>
    <w:p w:rsidR="00720F24" w:rsidRPr="00720F24" w:rsidRDefault="00720F24" w:rsidP="00720F24">
      <w:pPr>
        <w:pStyle w:val="a0"/>
        <w:jc w:val="center"/>
        <w:rPr>
          <w:rFonts w:ascii="楷体" w:eastAsia="楷体" w:hAnsi="楷体" w:hint="eastAsia"/>
        </w:rPr>
      </w:pPr>
      <w:bookmarkStart w:id="0" w:name="_GoBack"/>
      <w:r w:rsidRPr="00720F24">
        <w:rPr>
          <w:rFonts w:ascii="楷体" w:eastAsia="楷体" w:hAnsi="楷体" w:hint="eastAsia"/>
        </w:rPr>
        <w:t>渝财金〔2024〕43号</w:t>
      </w:r>
    </w:p>
    <w:bookmarkEnd w:id="0"/>
    <w:p w:rsidR="00720F24" w:rsidRPr="00725A0E" w:rsidRDefault="00720F24" w:rsidP="00720F24">
      <w:pPr>
        <w:spacing w:line="578" w:lineRule="exact"/>
      </w:pPr>
    </w:p>
    <w:p w:rsidR="00720F24" w:rsidRPr="00725A0E" w:rsidRDefault="00720F24" w:rsidP="00720F24">
      <w:pPr>
        <w:spacing w:line="578" w:lineRule="exact"/>
      </w:pPr>
      <w:r w:rsidRPr="00725A0E">
        <w:t>各区</w:t>
      </w:r>
      <w:r w:rsidRPr="00725A0E">
        <w:rPr>
          <w:rFonts w:hint="eastAsia"/>
        </w:rPr>
        <w:t>、</w:t>
      </w:r>
      <w:r w:rsidRPr="00725A0E">
        <w:t>县（自治县）财政局，两江新区、西部科学城重庆高新区、万盛经开区财政局</w:t>
      </w:r>
      <w:r w:rsidRPr="00725A0E">
        <w:rPr>
          <w:rFonts w:hint="eastAsia"/>
        </w:rPr>
        <w:t>，</w:t>
      </w:r>
      <w:r w:rsidRPr="00725A0E">
        <w:t>有关金融企业：</w:t>
      </w:r>
    </w:p>
    <w:p w:rsidR="00720F24" w:rsidRPr="00725A0E" w:rsidRDefault="00720F24" w:rsidP="00720F24">
      <w:pPr>
        <w:spacing w:line="578" w:lineRule="exact"/>
        <w:ind w:firstLineChars="200" w:firstLine="640"/>
      </w:pPr>
      <w:r w:rsidRPr="00725A0E">
        <w:t>为做好</w:t>
      </w:r>
      <w:r w:rsidRPr="00725A0E">
        <w:t>2024</w:t>
      </w:r>
      <w:r w:rsidRPr="00725A0E">
        <w:t>年度地方金融企业财务决算</w:t>
      </w:r>
      <w:r w:rsidRPr="00725A0E">
        <w:rPr>
          <w:rFonts w:hint="eastAsia"/>
        </w:rPr>
        <w:t>报表及</w:t>
      </w:r>
      <w:r w:rsidRPr="00725A0E">
        <w:rPr>
          <w:rFonts w:hint="eastAsia"/>
        </w:rPr>
        <w:t>2025</w:t>
      </w:r>
      <w:r w:rsidRPr="00725A0E">
        <w:rPr>
          <w:rFonts w:hint="eastAsia"/>
        </w:rPr>
        <w:t>年地方金融企业财务快报报表编制</w:t>
      </w:r>
      <w:r w:rsidRPr="00725A0E">
        <w:t>工作，及时掌握我市地方金融企业的财务状况、经营成果及资产质量等基本情况，</w:t>
      </w:r>
      <w:r w:rsidRPr="00725A0E">
        <w:rPr>
          <w:rFonts w:hint="eastAsia"/>
        </w:rPr>
        <w:t>现将</w:t>
      </w:r>
      <w:r w:rsidRPr="00725A0E">
        <w:t>财政部</w:t>
      </w:r>
      <w:r w:rsidRPr="00725A0E">
        <w:rPr>
          <w:rFonts w:hint="eastAsia"/>
        </w:rPr>
        <w:t>相关</w:t>
      </w:r>
      <w:r w:rsidRPr="00725A0E">
        <w:t>文件转发给你们，请遵照执行</w:t>
      </w:r>
      <w:r w:rsidRPr="00725A0E">
        <w:rPr>
          <w:rFonts w:hint="eastAsia"/>
        </w:rPr>
        <w:t>。同时</w:t>
      </w:r>
      <w:r w:rsidRPr="00725A0E">
        <w:t>，结合</w:t>
      </w:r>
      <w:r w:rsidRPr="00725A0E">
        <w:rPr>
          <w:rFonts w:hint="eastAsia"/>
        </w:rPr>
        <w:t>我市</w:t>
      </w:r>
      <w:r w:rsidRPr="00725A0E">
        <w:t>实际情况</w:t>
      </w:r>
      <w:r w:rsidRPr="00725A0E">
        <w:rPr>
          <w:rFonts w:hint="eastAsia"/>
        </w:rPr>
        <w:t>，就做好</w:t>
      </w:r>
      <w:r w:rsidRPr="00725A0E">
        <w:t>有关工作通知如下：</w:t>
      </w:r>
    </w:p>
    <w:p w:rsidR="00720F24" w:rsidRPr="00725A0E" w:rsidRDefault="00720F24" w:rsidP="00720F24">
      <w:pPr>
        <w:spacing w:line="578" w:lineRule="exact"/>
        <w:ind w:firstLineChars="200" w:firstLine="640"/>
        <w:rPr>
          <w:rFonts w:eastAsia="方正黑体_GBK" w:hint="eastAsia"/>
        </w:rPr>
      </w:pPr>
      <w:r w:rsidRPr="00725A0E">
        <w:rPr>
          <w:rFonts w:eastAsia="方正黑体_GBK" w:hint="eastAsia"/>
        </w:rPr>
        <w:t>一、</w:t>
      </w:r>
      <w:r w:rsidRPr="00725A0E">
        <w:rPr>
          <w:rFonts w:eastAsia="方正黑体_GBK" w:hint="eastAsia"/>
        </w:rPr>
        <w:t>2024</w:t>
      </w:r>
      <w:r w:rsidRPr="00725A0E">
        <w:rPr>
          <w:rFonts w:eastAsia="方正黑体_GBK" w:hint="eastAsia"/>
        </w:rPr>
        <w:t>年度决算报表编制</w:t>
      </w:r>
    </w:p>
    <w:p w:rsidR="00720F24" w:rsidRPr="00725A0E" w:rsidRDefault="00720F24" w:rsidP="00720F24">
      <w:pPr>
        <w:spacing w:line="578" w:lineRule="exact"/>
        <w:ind w:firstLineChars="200" w:firstLine="640"/>
        <w:rPr>
          <w:rFonts w:eastAsia="方正楷体_GBK" w:hint="eastAsia"/>
        </w:rPr>
      </w:pPr>
      <w:r w:rsidRPr="00725A0E">
        <w:rPr>
          <w:rFonts w:eastAsia="方正楷体_GBK" w:hint="eastAsia"/>
        </w:rPr>
        <w:t>（一）填报要求</w:t>
      </w:r>
    </w:p>
    <w:p w:rsidR="00720F24" w:rsidRPr="00725A0E" w:rsidRDefault="00720F24" w:rsidP="00720F24">
      <w:pPr>
        <w:spacing w:line="578" w:lineRule="exact"/>
        <w:ind w:firstLineChars="200" w:firstLine="640"/>
      </w:pPr>
      <w:r w:rsidRPr="00725A0E">
        <w:rPr>
          <w:rFonts w:hint="eastAsia"/>
        </w:rPr>
        <w:t>1.</w:t>
      </w:r>
      <w:r w:rsidRPr="00725A0E">
        <w:t xml:space="preserve"> </w:t>
      </w:r>
      <w:r w:rsidRPr="00725A0E">
        <w:rPr>
          <w:rFonts w:hint="eastAsia"/>
        </w:rPr>
        <w:t>各企业要落实</w:t>
      </w:r>
      <w:r w:rsidRPr="00725A0E">
        <w:t>报表</w:t>
      </w:r>
      <w:r w:rsidRPr="00725A0E">
        <w:rPr>
          <w:rFonts w:hint="eastAsia"/>
        </w:rPr>
        <w:t>编制</w:t>
      </w:r>
      <w:r w:rsidRPr="00725A0E">
        <w:t>工作</w:t>
      </w:r>
      <w:r w:rsidRPr="00725A0E">
        <w:rPr>
          <w:rFonts w:hint="eastAsia"/>
        </w:rPr>
        <w:t>主体责任，对报表的真实性和完整性负责，认真按照编制说明做好填报工作。各</w:t>
      </w:r>
      <w:r w:rsidRPr="00725A0E">
        <w:t>区县财政部门要及时梳理辖内金融企业情况，</w:t>
      </w:r>
      <w:r w:rsidRPr="00725A0E">
        <w:rPr>
          <w:rFonts w:hint="eastAsia"/>
        </w:rPr>
        <w:t>与</w:t>
      </w:r>
      <w:r w:rsidRPr="00725A0E">
        <w:t>金融监管部门、市场监管部</w:t>
      </w:r>
      <w:r w:rsidRPr="00725A0E">
        <w:rPr>
          <w:rFonts w:hint="eastAsia"/>
        </w:rPr>
        <w:t>门等</w:t>
      </w:r>
      <w:r w:rsidRPr="00725A0E">
        <w:t>相关单位公布的金融</w:t>
      </w:r>
      <w:r w:rsidRPr="00725A0E">
        <w:rPr>
          <w:rFonts w:hint="eastAsia"/>
        </w:rPr>
        <w:t>企业</w:t>
      </w:r>
      <w:r w:rsidRPr="00725A0E">
        <w:t>名录进行比对，督促未报送财务决算报表的企业及时、准确完成报送。</w:t>
      </w:r>
    </w:p>
    <w:p w:rsidR="00720F24" w:rsidRPr="00725A0E" w:rsidRDefault="00720F24" w:rsidP="00720F24">
      <w:pPr>
        <w:spacing w:line="578" w:lineRule="exact"/>
        <w:ind w:firstLineChars="200" w:firstLine="640"/>
      </w:pPr>
      <w:r w:rsidRPr="00725A0E">
        <w:rPr>
          <w:rFonts w:hint="eastAsia"/>
        </w:rPr>
        <w:t>2.</w:t>
      </w:r>
      <w:r w:rsidRPr="00725A0E">
        <w:t xml:space="preserve"> </w:t>
      </w:r>
      <w:r w:rsidRPr="00725A0E">
        <w:rPr>
          <w:rFonts w:hint="eastAsia"/>
        </w:rPr>
        <w:t>所有金融企业应全级次填报财务决算报表，由本地金融企业总公司统一填报合并报表，总公司未在我市的金融企业分支</w:t>
      </w:r>
      <w:r w:rsidRPr="00725A0E">
        <w:rPr>
          <w:rFonts w:hint="eastAsia"/>
        </w:rPr>
        <w:lastRenderedPageBreak/>
        <w:t>机构、子公司，由总公司向所在地财政部门报送。</w:t>
      </w:r>
    </w:p>
    <w:p w:rsidR="00720F24" w:rsidRPr="00725A0E" w:rsidRDefault="00720F24" w:rsidP="00720F24">
      <w:pPr>
        <w:spacing w:line="578" w:lineRule="exact"/>
        <w:ind w:firstLineChars="200" w:firstLine="640"/>
      </w:pPr>
      <w:r w:rsidRPr="00725A0E">
        <w:rPr>
          <w:rFonts w:hint="eastAsia"/>
        </w:rPr>
        <w:t>3.</w:t>
      </w:r>
      <w:r w:rsidRPr="00725A0E">
        <w:t xml:space="preserve"> </w:t>
      </w:r>
      <w:r w:rsidRPr="00725A0E">
        <w:rPr>
          <w:rFonts w:hint="eastAsia"/>
        </w:rPr>
        <w:t>所有金融企业报送决算报表时必须附报中介机构出具的</w:t>
      </w:r>
      <w:r w:rsidRPr="00725A0E">
        <w:rPr>
          <w:rFonts w:hint="eastAsia"/>
        </w:rPr>
        <w:t>2024</w:t>
      </w:r>
      <w:r w:rsidRPr="00725A0E">
        <w:rPr>
          <w:rFonts w:hint="eastAsia"/>
        </w:rPr>
        <w:t>年度财务审计报告。</w:t>
      </w:r>
    </w:p>
    <w:p w:rsidR="00720F24" w:rsidRPr="00725A0E" w:rsidRDefault="00720F24" w:rsidP="00720F24">
      <w:pPr>
        <w:spacing w:line="578" w:lineRule="exact"/>
        <w:ind w:firstLineChars="200" w:firstLine="640"/>
        <w:rPr>
          <w:rFonts w:eastAsia="方正楷体_GBK"/>
        </w:rPr>
      </w:pPr>
      <w:r w:rsidRPr="00725A0E">
        <w:rPr>
          <w:rFonts w:eastAsia="方正楷体_GBK" w:hint="eastAsia"/>
        </w:rPr>
        <w:t>（二）报送要求</w:t>
      </w:r>
    </w:p>
    <w:p w:rsidR="00720F24" w:rsidRPr="00725A0E" w:rsidRDefault="00720F24" w:rsidP="00720F24">
      <w:pPr>
        <w:spacing w:line="578" w:lineRule="exact"/>
        <w:ind w:firstLineChars="200" w:firstLine="640"/>
      </w:pPr>
      <w:r w:rsidRPr="00725A0E">
        <w:rPr>
          <w:rFonts w:hint="eastAsia"/>
        </w:rPr>
        <w:t xml:space="preserve">1. </w:t>
      </w:r>
      <w:r w:rsidRPr="00725A0E">
        <w:rPr>
          <w:rFonts w:hint="eastAsia"/>
        </w:rPr>
        <w:t>决算报送资料包括电子数据和纸质资料。</w:t>
      </w:r>
    </w:p>
    <w:p w:rsidR="00720F24" w:rsidRPr="00725A0E" w:rsidRDefault="00720F24" w:rsidP="00720F24">
      <w:pPr>
        <w:spacing w:line="578" w:lineRule="exact"/>
        <w:ind w:firstLineChars="200" w:firstLine="640"/>
      </w:pPr>
      <w:r w:rsidRPr="00725A0E">
        <w:rPr>
          <w:rFonts w:hint="eastAsia"/>
        </w:rPr>
        <w:t xml:space="preserve">2. </w:t>
      </w:r>
      <w:r w:rsidRPr="00725A0E">
        <w:rPr>
          <w:rFonts w:hint="eastAsia"/>
        </w:rPr>
        <w:t>线上填报需在</w:t>
      </w:r>
      <w:r w:rsidRPr="00725A0E">
        <w:rPr>
          <w:rFonts w:hint="eastAsia"/>
        </w:rPr>
        <w:t>2025</w:t>
      </w:r>
      <w:r w:rsidRPr="00725A0E">
        <w:rPr>
          <w:rFonts w:hint="eastAsia"/>
        </w:rPr>
        <w:t>年</w:t>
      </w:r>
      <w:r w:rsidRPr="00725A0E">
        <w:rPr>
          <w:rFonts w:hint="eastAsia"/>
        </w:rPr>
        <w:t>3</w:t>
      </w:r>
      <w:r w:rsidRPr="00725A0E">
        <w:rPr>
          <w:rFonts w:hint="eastAsia"/>
        </w:rPr>
        <w:t>月</w:t>
      </w:r>
      <w:r w:rsidRPr="00725A0E">
        <w:rPr>
          <w:rFonts w:hint="eastAsia"/>
        </w:rPr>
        <w:t>31</w:t>
      </w:r>
      <w:r w:rsidRPr="00725A0E">
        <w:rPr>
          <w:rFonts w:hint="eastAsia"/>
        </w:rPr>
        <w:t>日前，通过</w:t>
      </w:r>
      <w:r w:rsidRPr="00725A0E">
        <w:t>重庆市财政局</w:t>
      </w:r>
      <w:r w:rsidRPr="00725A0E">
        <w:rPr>
          <w:rFonts w:hint="eastAsia"/>
        </w:rPr>
        <w:t>金融企业业务综合管理平台完成</w:t>
      </w:r>
      <w:r w:rsidRPr="00725A0E">
        <w:t>，</w:t>
      </w:r>
      <w:r w:rsidRPr="00725A0E">
        <w:rPr>
          <w:rFonts w:hint="eastAsia"/>
        </w:rPr>
        <w:t>平台</w:t>
      </w:r>
      <w:r w:rsidRPr="00725A0E">
        <w:t>地址</w:t>
      </w:r>
      <w:r w:rsidRPr="00725A0E">
        <w:rPr>
          <w:rFonts w:hint="eastAsia"/>
        </w:rPr>
        <w:t>为</w:t>
      </w:r>
      <w:r w:rsidRPr="00725A0E">
        <w:t>http</w:t>
      </w:r>
      <w:r w:rsidRPr="00725A0E">
        <w:t>：</w:t>
      </w:r>
      <w:r w:rsidRPr="00725A0E">
        <w:t>//</w:t>
      </w:r>
      <w:r w:rsidRPr="00725A0E">
        <w:rPr>
          <w:rFonts w:hint="eastAsia"/>
        </w:rPr>
        <w:t>czyw</w:t>
      </w:r>
      <w:r w:rsidRPr="00725A0E">
        <w:t>.czj.cq.gov.cn</w:t>
      </w:r>
      <w:r w:rsidRPr="00725A0E">
        <w:t>：</w:t>
      </w:r>
      <w:r w:rsidRPr="00725A0E">
        <w:t>8080</w:t>
      </w:r>
      <w:r w:rsidRPr="00725A0E">
        <w:rPr>
          <w:rFonts w:hint="eastAsia"/>
        </w:rPr>
        <w:t>。</w:t>
      </w:r>
    </w:p>
    <w:p w:rsidR="00720F24" w:rsidRPr="00725A0E" w:rsidRDefault="00720F24" w:rsidP="00720F24">
      <w:pPr>
        <w:spacing w:line="578" w:lineRule="exact"/>
        <w:ind w:firstLineChars="200" w:firstLine="640"/>
      </w:pPr>
      <w:r w:rsidRPr="00725A0E">
        <w:rPr>
          <w:rFonts w:hint="eastAsia"/>
        </w:rPr>
        <w:t xml:space="preserve">3. </w:t>
      </w:r>
      <w:r w:rsidRPr="00725A0E">
        <w:rPr>
          <w:rFonts w:hint="eastAsia"/>
        </w:rPr>
        <w:t>线下报送纸质资料需在</w:t>
      </w:r>
      <w:r w:rsidRPr="00725A0E">
        <w:rPr>
          <w:rFonts w:hint="eastAsia"/>
        </w:rPr>
        <w:t>2025</w:t>
      </w:r>
      <w:r w:rsidRPr="00725A0E">
        <w:rPr>
          <w:rFonts w:hint="eastAsia"/>
        </w:rPr>
        <w:t>年</w:t>
      </w:r>
      <w:r w:rsidRPr="00725A0E">
        <w:t>4</w:t>
      </w:r>
      <w:r w:rsidRPr="00725A0E">
        <w:rPr>
          <w:rFonts w:hint="eastAsia"/>
        </w:rPr>
        <w:t>月</w:t>
      </w:r>
      <w:r w:rsidRPr="00725A0E">
        <w:t>15</w:t>
      </w:r>
      <w:r w:rsidRPr="00725A0E">
        <w:rPr>
          <w:rFonts w:hint="eastAsia"/>
        </w:rPr>
        <w:t>日前，通过邮寄至市财政局联系人或扫描发送至指定邮箱。纸质资料统一使用</w:t>
      </w:r>
      <w:r w:rsidRPr="00725A0E">
        <w:rPr>
          <w:rFonts w:hint="eastAsia"/>
        </w:rPr>
        <w:t>A4</w:t>
      </w:r>
      <w:r w:rsidRPr="00725A0E">
        <w:rPr>
          <w:rFonts w:hint="eastAsia"/>
        </w:rPr>
        <w:t>纸打印，报表封面按规定签字、盖章，</w:t>
      </w:r>
      <w:r w:rsidRPr="00725A0E">
        <w:t>应</w:t>
      </w:r>
      <w:r w:rsidRPr="00725A0E">
        <w:rPr>
          <w:rFonts w:hint="eastAsia"/>
        </w:rPr>
        <w:t>包括</w:t>
      </w:r>
      <w:r w:rsidRPr="00725A0E">
        <w:t>正式行文</w:t>
      </w:r>
      <w:r w:rsidRPr="00725A0E">
        <w:rPr>
          <w:rFonts w:hint="eastAsia"/>
        </w:rPr>
        <w:t>文件、分析报告、决算报表合并报表（以“万元”为金额单位，保留两位小数）、户数变动分析表、财务报表附注，</w:t>
      </w:r>
      <w:r w:rsidRPr="00725A0E">
        <w:t>并按</w:t>
      </w:r>
      <w:r w:rsidRPr="00725A0E">
        <w:rPr>
          <w:rFonts w:hint="eastAsia"/>
        </w:rPr>
        <w:t>顺序装订。</w:t>
      </w:r>
    </w:p>
    <w:p w:rsidR="00720F24" w:rsidRPr="00725A0E" w:rsidRDefault="00720F24" w:rsidP="00720F24">
      <w:pPr>
        <w:spacing w:line="578" w:lineRule="exact"/>
        <w:ind w:firstLineChars="200" w:firstLine="640"/>
        <w:rPr>
          <w:rFonts w:eastAsia="方正楷体_GBK"/>
        </w:rPr>
      </w:pPr>
      <w:r w:rsidRPr="00725A0E">
        <w:rPr>
          <w:rFonts w:eastAsia="方正楷体_GBK" w:hint="eastAsia"/>
        </w:rPr>
        <w:t>（三）报表审验</w:t>
      </w:r>
    </w:p>
    <w:p w:rsidR="00720F24" w:rsidRPr="00725A0E" w:rsidRDefault="00720F24" w:rsidP="00720F24">
      <w:pPr>
        <w:spacing w:line="578" w:lineRule="exact"/>
        <w:ind w:firstLineChars="200" w:firstLine="640"/>
      </w:pPr>
      <w:r w:rsidRPr="00725A0E">
        <w:rPr>
          <w:rFonts w:hint="eastAsia"/>
        </w:rPr>
        <w:t>各单位根据填报和报送要求</w:t>
      </w:r>
      <w:r w:rsidRPr="00725A0E">
        <w:t>认真、及时完成</w:t>
      </w:r>
      <w:r w:rsidRPr="00725A0E">
        <w:t>2024</w:t>
      </w:r>
      <w:r w:rsidRPr="00725A0E">
        <w:t>年度决算报表的填报、分析</w:t>
      </w:r>
      <w:r w:rsidRPr="00725A0E">
        <w:rPr>
          <w:rFonts w:hint="eastAsia"/>
        </w:rPr>
        <w:t>、汇总</w:t>
      </w:r>
      <w:r w:rsidRPr="00725A0E">
        <w:t>等工作。市财政局将适时组织开展</w:t>
      </w:r>
      <w:r w:rsidRPr="00725A0E">
        <w:rPr>
          <w:rFonts w:hint="eastAsia"/>
        </w:rPr>
        <w:t>全市</w:t>
      </w:r>
      <w:r w:rsidRPr="00725A0E">
        <w:t>金融企业</w:t>
      </w:r>
      <w:r w:rsidRPr="00725A0E">
        <w:rPr>
          <w:rFonts w:hint="eastAsia"/>
        </w:rPr>
        <w:t>2024</w:t>
      </w:r>
      <w:r w:rsidRPr="00725A0E">
        <w:rPr>
          <w:rFonts w:hint="eastAsia"/>
        </w:rPr>
        <w:t>年度</w:t>
      </w:r>
      <w:r w:rsidRPr="00725A0E">
        <w:t>财务决算报表的验审工作（具体事宜另行通知）。</w:t>
      </w:r>
    </w:p>
    <w:p w:rsidR="00720F24" w:rsidRPr="00725A0E" w:rsidRDefault="00720F24" w:rsidP="00720F24">
      <w:pPr>
        <w:spacing w:line="578" w:lineRule="exact"/>
        <w:ind w:firstLineChars="200" w:firstLine="640"/>
        <w:rPr>
          <w:rFonts w:eastAsia="方正黑体_GBK"/>
        </w:rPr>
      </w:pPr>
      <w:r w:rsidRPr="00725A0E">
        <w:rPr>
          <w:rFonts w:eastAsia="方正黑体_GBK" w:hint="eastAsia"/>
        </w:rPr>
        <w:t>二、</w:t>
      </w:r>
      <w:r w:rsidRPr="00725A0E">
        <w:rPr>
          <w:rFonts w:eastAsia="方正黑体_GBK" w:hint="eastAsia"/>
        </w:rPr>
        <w:t>2025</w:t>
      </w:r>
      <w:r w:rsidRPr="00725A0E">
        <w:rPr>
          <w:rFonts w:eastAsia="方正黑体_GBK" w:hint="eastAsia"/>
        </w:rPr>
        <w:t>年度快报编制</w:t>
      </w:r>
    </w:p>
    <w:p w:rsidR="00720F24" w:rsidRPr="00725A0E" w:rsidRDefault="00720F24" w:rsidP="00720F24">
      <w:pPr>
        <w:spacing w:line="578" w:lineRule="exact"/>
        <w:ind w:firstLineChars="200" w:firstLine="640"/>
        <w:rPr>
          <w:rFonts w:eastAsia="方正楷体_GBK"/>
        </w:rPr>
      </w:pPr>
      <w:r w:rsidRPr="00725A0E">
        <w:rPr>
          <w:rFonts w:eastAsia="方正楷体_GBK" w:hint="eastAsia"/>
        </w:rPr>
        <w:t>（一）填报要求</w:t>
      </w:r>
    </w:p>
    <w:p w:rsidR="00720F24" w:rsidRPr="00725A0E" w:rsidRDefault="00720F24" w:rsidP="00720F24">
      <w:pPr>
        <w:spacing w:line="578" w:lineRule="exact"/>
        <w:ind w:firstLineChars="200" w:firstLine="640"/>
      </w:pPr>
      <w:r w:rsidRPr="00725A0E">
        <w:rPr>
          <w:rFonts w:hint="eastAsia"/>
        </w:rPr>
        <w:t>1</w:t>
      </w:r>
      <w:r w:rsidRPr="00725A0E">
        <w:t xml:space="preserve">. </w:t>
      </w:r>
      <w:r w:rsidRPr="00725A0E">
        <w:rPr>
          <w:rFonts w:hint="eastAsia"/>
        </w:rPr>
        <w:t>快报报表填报范围与决算要求一致，我市全部所有制形</w:t>
      </w:r>
      <w:r w:rsidRPr="00725A0E">
        <w:rPr>
          <w:rFonts w:hint="eastAsia"/>
        </w:rPr>
        <w:lastRenderedPageBreak/>
        <w:t>式和组织形式的金融企业都应填报。</w:t>
      </w:r>
    </w:p>
    <w:p w:rsidR="00720F24" w:rsidRPr="00725A0E" w:rsidRDefault="00720F24" w:rsidP="00720F24">
      <w:pPr>
        <w:spacing w:line="578" w:lineRule="exact"/>
        <w:ind w:firstLineChars="200" w:firstLine="640"/>
      </w:pPr>
      <w:r w:rsidRPr="00725A0E">
        <w:rPr>
          <w:rFonts w:hint="eastAsia"/>
        </w:rPr>
        <w:t>2.</w:t>
      </w:r>
      <w:r w:rsidRPr="00725A0E">
        <w:t xml:space="preserve"> </w:t>
      </w:r>
      <w:r w:rsidRPr="00725A0E">
        <w:rPr>
          <w:rFonts w:hint="eastAsia"/>
        </w:rPr>
        <w:t>金融企业要按规定填报（国有）资本保值增值情况表，国有独资、国有全资、国有绝对控股和国有实际控制按照国家所有者权益填报国有资本保值增值率，其他金融企业比照规定填报归属母公司所有者权益的资本保值增值率。</w:t>
      </w:r>
    </w:p>
    <w:p w:rsidR="00720F24" w:rsidRPr="00725A0E" w:rsidRDefault="00720F24" w:rsidP="00720F24">
      <w:pPr>
        <w:spacing w:line="578" w:lineRule="exact"/>
        <w:ind w:firstLineChars="200" w:firstLine="640"/>
      </w:pPr>
      <w:r w:rsidRPr="00725A0E">
        <w:rPr>
          <w:rFonts w:hint="eastAsia"/>
        </w:rPr>
        <w:t>3.</w:t>
      </w:r>
      <w:r w:rsidRPr="00725A0E">
        <w:t xml:space="preserve"> </w:t>
      </w:r>
      <w:r w:rsidRPr="00725A0E">
        <w:rPr>
          <w:rFonts w:hint="eastAsia"/>
        </w:rPr>
        <w:t>已执行《企业会计准则第</w:t>
      </w:r>
      <w:r w:rsidRPr="00725A0E">
        <w:rPr>
          <w:rFonts w:hint="eastAsia"/>
        </w:rPr>
        <w:t>25</w:t>
      </w:r>
      <w:r w:rsidRPr="00725A0E">
        <w:rPr>
          <w:rFonts w:hint="eastAsia"/>
        </w:rPr>
        <w:t>号——保险合同》（财会</w:t>
      </w:r>
    </w:p>
    <w:p w:rsidR="00720F24" w:rsidRPr="00725A0E" w:rsidRDefault="00720F24" w:rsidP="00720F24">
      <w:pPr>
        <w:spacing w:line="578" w:lineRule="exact"/>
        <w:ind w:firstLineChars="200" w:firstLine="640"/>
      </w:pPr>
      <w:r w:rsidRPr="00725A0E">
        <w:rPr>
          <w:rFonts w:hint="eastAsia"/>
        </w:rPr>
        <w:t>〔</w:t>
      </w:r>
      <w:r w:rsidRPr="00725A0E">
        <w:rPr>
          <w:rFonts w:hint="eastAsia"/>
        </w:rPr>
        <w:t>2020</w:t>
      </w:r>
      <w:r w:rsidRPr="00725A0E">
        <w:rPr>
          <w:rFonts w:hint="eastAsia"/>
        </w:rPr>
        <w:t>〕</w:t>
      </w:r>
      <w:r w:rsidRPr="00725A0E">
        <w:rPr>
          <w:rFonts w:hint="eastAsia"/>
        </w:rPr>
        <w:t>20</w:t>
      </w:r>
      <w:r w:rsidRPr="00725A0E">
        <w:rPr>
          <w:rFonts w:hint="eastAsia"/>
        </w:rPr>
        <w:t>号，以下简称新保险准则）的保险类金融企业，需同时填报金融企业财务快报主要指标表（新保险准则）。</w:t>
      </w:r>
    </w:p>
    <w:p w:rsidR="00720F24" w:rsidRPr="00725A0E" w:rsidRDefault="00720F24" w:rsidP="00720F24">
      <w:pPr>
        <w:spacing w:line="578" w:lineRule="exact"/>
        <w:ind w:firstLineChars="200" w:firstLine="640"/>
        <w:rPr>
          <w:rFonts w:eastAsia="方正楷体_GBK"/>
        </w:rPr>
      </w:pPr>
      <w:r w:rsidRPr="00725A0E">
        <w:rPr>
          <w:rFonts w:eastAsia="方正楷体_GBK" w:hint="eastAsia"/>
        </w:rPr>
        <w:t>（二）报送要求</w:t>
      </w:r>
    </w:p>
    <w:p w:rsidR="00720F24" w:rsidRPr="00725A0E" w:rsidRDefault="00720F24" w:rsidP="00720F24">
      <w:pPr>
        <w:spacing w:line="578" w:lineRule="exact"/>
        <w:ind w:firstLineChars="200" w:firstLine="640"/>
      </w:pPr>
      <w:r w:rsidRPr="00725A0E">
        <w:rPr>
          <w:rFonts w:hint="eastAsia"/>
        </w:rPr>
        <w:t>各区县财政部门及市级金融机构应在第一、二、三季度结束后</w:t>
      </w:r>
      <w:r w:rsidRPr="00725A0E">
        <w:rPr>
          <w:rFonts w:hint="eastAsia"/>
        </w:rPr>
        <w:t>15</w:t>
      </w:r>
      <w:r w:rsidRPr="00725A0E">
        <w:rPr>
          <w:rFonts w:hint="eastAsia"/>
        </w:rPr>
        <w:t>日内（遇节假日顺延，</w:t>
      </w:r>
      <w:r w:rsidRPr="00725A0E">
        <w:t>下同）</w:t>
      </w:r>
      <w:r w:rsidRPr="00725A0E">
        <w:rPr>
          <w:rFonts w:hint="eastAsia"/>
        </w:rPr>
        <w:t>在</w:t>
      </w:r>
      <w:r w:rsidRPr="00725A0E">
        <w:t>重庆市财政局</w:t>
      </w:r>
      <w:r w:rsidRPr="00725A0E">
        <w:rPr>
          <w:rFonts w:hint="eastAsia"/>
        </w:rPr>
        <w:t>金融企业业务综合管理平台完成电子数据填报，</w:t>
      </w:r>
      <w:r w:rsidRPr="00725A0E">
        <w:t>并</w:t>
      </w:r>
      <w:r w:rsidRPr="00725A0E">
        <w:rPr>
          <w:rFonts w:hint="eastAsia"/>
        </w:rPr>
        <w:t>同步向市财政局报送纸质资料，纸质资料装订要求与决算报表纸质资料一致。第四季度数据表以及（国有）资本保值增值情况表应于年度结束后</w:t>
      </w:r>
      <w:r w:rsidRPr="00725A0E">
        <w:rPr>
          <w:rFonts w:hint="eastAsia"/>
        </w:rPr>
        <w:t>20</w:t>
      </w:r>
      <w:r w:rsidRPr="00725A0E">
        <w:rPr>
          <w:rFonts w:hint="eastAsia"/>
        </w:rPr>
        <w:t>日内报送。</w:t>
      </w:r>
    </w:p>
    <w:p w:rsidR="00720F24" w:rsidRPr="00725A0E" w:rsidRDefault="00720F24" w:rsidP="00720F24">
      <w:pPr>
        <w:spacing w:line="578" w:lineRule="exact"/>
        <w:ind w:firstLineChars="200" w:firstLine="640"/>
        <w:rPr>
          <w:rFonts w:eastAsia="方正黑体_GBK"/>
        </w:rPr>
      </w:pPr>
      <w:r w:rsidRPr="00725A0E">
        <w:rPr>
          <w:rFonts w:eastAsia="方正黑体_GBK" w:hint="eastAsia"/>
        </w:rPr>
        <w:t>三、工作要求</w:t>
      </w:r>
    </w:p>
    <w:p w:rsidR="00720F24" w:rsidRPr="00725A0E" w:rsidRDefault="00720F24" w:rsidP="00720F24">
      <w:pPr>
        <w:spacing w:line="578" w:lineRule="exact"/>
        <w:ind w:firstLineChars="200" w:firstLine="640"/>
      </w:pPr>
      <w:r w:rsidRPr="00725A0E">
        <w:rPr>
          <w:rFonts w:hint="eastAsia"/>
        </w:rPr>
        <w:t>一是加强组织领导。各企业</w:t>
      </w:r>
      <w:r w:rsidRPr="00725A0E">
        <w:t>要</w:t>
      </w:r>
      <w:r w:rsidRPr="00725A0E">
        <w:rPr>
          <w:rFonts w:hint="eastAsia"/>
        </w:rPr>
        <w:t>指定熟悉财务情况和业务流程的人员专门负责报表编制，给予必要的支持和资源，不断提升报表质量。</w:t>
      </w:r>
      <w:r w:rsidRPr="00725A0E">
        <w:t>区县财政部</w:t>
      </w:r>
      <w:r w:rsidRPr="00725A0E">
        <w:rPr>
          <w:rFonts w:hint="eastAsia"/>
        </w:rPr>
        <w:t>门要加强与</w:t>
      </w:r>
      <w:r w:rsidRPr="00725A0E">
        <w:t>金融监管部门、市场监管部</w:t>
      </w:r>
      <w:r w:rsidRPr="00725A0E">
        <w:rPr>
          <w:rFonts w:hint="eastAsia"/>
        </w:rPr>
        <w:t>门等</w:t>
      </w:r>
      <w:r w:rsidRPr="00725A0E">
        <w:t>相关单位</w:t>
      </w:r>
      <w:r w:rsidRPr="00725A0E">
        <w:rPr>
          <w:rFonts w:hint="eastAsia"/>
        </w:rPr>
        <w:t>的</w:t>
      </w:r>
      <w:r w:rsidRPr="00725A0E">
        <w:t>协调和配合</w:t>
      </w:r>
      <w:r w:rsidRPr="00725A0E">
        <w:rPr>
          <w:rFonts w:hint="eastAsia"/>
        </w:rPr>
        <w:t>，</w:t>
      </w:r>
      <w:r w:rsidRPr="00725A0E">
        <w:t>形成合力，确保报表</w:t>
      </w:r>
      <w:r w:rsidRPr="00725A0E">
        <w:rPr>
          <w:rFonts w:hint="eastAsia"/>
        </w:rPr>
        <w:t>数据</w:t>
      </w:r>
      <w:r w:rsidRPr="00725A0E">
        <w:t>的全面性。</w:t>
      </w:r>
    </w:p>
    <w:p w:rsidR="00720F24" w:rsidRPr="00725A0E" w:rsidRDefault="00720F24" w:rsidP="00720F24">
      <w:pPr>
        <w:spacing w:line="578" w:lineRule="exact"/>
        <w:ind w:firstLineChars="200" w:firstLine="640"/>
      </w:pPr>
      <w:r w:rsidRPr="00725A0E">
        <w:rPr>
          <w:rFonts w:hint="eastAsia"/>
        </w:rPr>
        <w:t>二是确保数据质量。各单位要准确理解报表</w:t>
      </w:r>
      <w:r w:rsidRPr="00725A0E">
        <w:t>数据</w:t>
      </w:r>
      <w:r w:rsidRPr="00725A0E">
        <w:rPr>
          <w:rFonts w:hint="eastAsia"/>
        </w:rPr>
        <w:t>口径</w:t>
      </w:r>
      <w:r w:rsidRPr="00725A0E">
        <w:t>，</w:t>
      </w:r>
      <w:r w:rsidRPr="00725A0E">
        <w:rPr>
          <w:rFonts w:hint="eastAsia"/>
        </w:rPr>
        <w:t>加强</w:t>
      </w:r>
      <w:r w:rsidRPr="00725A0E">
        <w:rPr>
          <w:rFonts w:hint="eastAsia"/>
        </w:rPr>
        <w:lastRenderedPageBreak/>
        <w:t>决算</w:t>
      </w:r>
      <w:r w:rsidRPr="00725A0E">
        <w:t>和</w:t>
      </w:r>
      <w:r w:rsidRPr="00725A0E">
        <w:rPr>
          <w:rFonts w:hint="eastAsia"/>
        </w:rPr>
        <w:t>快报数据的可比性和一致性核对，确保数据质量。对市财政局通报的</w:t>
      </w:r>
      <w:r w:rsidRPr="00725A0E">
        <w:t>错误情况要及时总结，</w:t>
      </w:r>
      <w:r w:rsidRPr="00725A0E">
        <w:rPr>
          <w:rFonts w:hint="eastAsia"/>
        </w:rPr>
        <w:t>避免</w:t>
      </w:r>
      <w:r w:rsidRPr="00725A0E">
        <w:t>重复错误</w:t>
      </w:r>
      <w:r w:rsidRPr="00725A0E">
        <w:rPr>
          <w:rFonts w:hint="eastAsia"/>
        </w:rPr>
        <w:t>。合理</w:t>
      </w:r>
      <w:r w:rsidRPr="00725A0E">
        <w:t>制定工作计划，在报送要求的时间内</w:t>
      </w:r>
      <w:r w:rsidRPr="00725A0E">
        <w:rPr>
          <w:rFonts w:hint="eastAsia"/>
        </w:rPr>
        <w:t>确保有足够的时间进行审查和修正，避免因匆忙出现遗漏或错误。</w:t>
      </w:r>
    </w:p>
    <w:p w:rsidR="00720F24" w:rsidRPr="00725A0E" w:rsidRDefault="00720F24" w:rsidP="00720F24">
      <w:pPr>
        <w:spacing w:line="578" w:lineRule="exact"/>
        <w:ind w:firstLineChars="200" w:firstLine="640"/>
      </w:pPr>
      <w:r w:rsidRPr="00725A0E">
        <w:rPr>
          <w:rFonts w:hint="eastAsia"/>
        </w:rPr>
        <w:t>三是强化结果运用。</w:t>
      </w:r>
      <w:r w:rsidRPr="00725A0E">
        <w:t>市财政局将</w:t>
      </w:r>
      <w:r w:rsidRPr="00725A0E">
        <w:rPr>
          <w:rFonts w:hint="eastAsia"/>
        </w:rPr>
        <w:t>持续监测全市</w:t>
      </w:r>
      <w:r w:rsidRPr="00725A0E">
        <w:t>金融</w:t>
      </w:r>
      <w:r w:rsidRPr="00725A0E">
        <w:rPr>
          <w:rFonts w:hint="eastAsia"/>
        </w:rPr>
        <w:t>行业运行情况</w:t>
      </w:r>
      <w:r w:rsidRPr="00725A0E">
        <w:t>，</w:t>
      </w:r>
      <w:r w:rsidRPr="00725A0E">
        <w:rPr>
          <w:rFonts w:hint="eastAsia"/>
        </w:rPr>
        <w:t>将发现</w:t>
      </w:r>
      <w:r w:rsidRPr="00725A0E">
        <w:t>的潜在风险</w:t>
      </w:r>
      <w:r w:rsidRPr="00725A0E">
        <w:rPr>
          <w:rFonts w:hint="eastAsia"/>
        </w:rPr>
        <w:t>及时告知金融</w:t>
      </w:r>
      <w:r w:rsidRPr="00725A0E">
        <w:t>监管</w:t>
      </w:r>
      <w:r w:rsidRPr="00725A0E">
        <w:rPr>
          <w:rFonts w:hint="eastAsia"/>
        </w:rPr>
        <w:t>、</w:t>
      </w:r>
      <w:r w:rsidRPr="00725A0E">
        <w:t>行业主管、股东单位等相关部门</w:t>
      </w:r>
      <w:r w:rsidRPr="00725A0E">
        <w:rPr>
          <w:rFonts w:hint="eastAsia"/>
        </w:rPr>
        <w:t>。市财政局将对定期对各单位报表编制的及时性、正确性、报表质量等工作开展情况进行评价和通报。</w:t>
      </w:r>
    </w:p>
    <w:p w:rsidR="00720F24" w:rsidRPr="00725A0E" w:rsidRDefault="00720F24" w:rsidP="00720F24">
      <w:pPr>
        <w:spacing w:line="578" w:lineRule="exact"/>
        <w:ind w:firstLineChars="200" w:firstLine="640"/>
        <w:rPr>
          <w:rFonts w:eastAsia="方正黑体_GBK" w:hint="eastAsia"/>
        </w:rPr>
      </w:pPr>
      <w:r w:rsidRPr="00725A0E">
        <w:rPr>
          <w:rFonts w:eastAsia="方正黑体_GBK" w:hint="eastAsia"/>
        </w:rPr>
        <w:t>四、工作联系方式</w:t>
      </w:r>
    </w:p>
    <w:p w:rsidR="00720F24" w:rsidRPr="00725A0E" w:rsidRDefault="00720F24" w:rsidP="00720F24">
      <w:pPr>
        <w:spacing w:line="578" w:lineRule="exact"/>
        <w:ind w:firstLineChars="200" w:firstLine="640"/>
      </w:pPr>
      <w:r w:rsidRPr="00725A0E">
        <w:t>联系人：市财政局陈子建</w:t>
      </w:r>
      <w:r w:rsidRPr="00725A0E">
        <w:rPr>
          <w:rFonts w:hint="eastAsia"/>
        </w:rPr>
        <w:t>，联系</w:t>
      </w:r>
      <w:r w:rsidRPr="00725A0E">
        <w:t>电话</w:t>
      </w:r>
      <w:r w:rsidRPr="00725A0E">
        <w:rPr>
          <w:rFonts w:hint="eastAsia"/>
        </w:rPr>
        <w:t>：</w:t>
      </w:r>
      <w:r w:rsidRPr="00725A0E">
        <w:t>67575209</w:t>
      </w:r>
      <w:r w:rsidRPr="00725A0E">
        <w:rPr>
          <w:rFonts w:hint="eastAsia"/>
        </w:rPr>
        <w:t>，联系邮箱：</w:t>
      </w:r>
      <w:hyperlink r:id="rId7" w:history="1">
        <w:r w:rsidRPr="00725A0E">
          <w:rPr>
            <w:rStyle w:val="ae"/>
            <w:rFonts w:hint="eastAsia"/>
          </w:rPr>
          <w:t>cqsczjchenzijian@163.com</w:t>
        </w:r>
      </w:hyperlink>
      <w:r w:rsidRPr="00725A0E">
        <w:rPr>
          <w:rFonts w:hint="eastAsia"/>
        </w:rPr>
        <w:t>；</w:t>
      </w:r>
      <w:r w:rsidRPr="00725A0E">
        <w:t>久其公司唐梅</w:t>
      </w:r>
      <w:r w:rsidRPr="00725A0E">
        <w:rPr>
          <w:rFonts w:hint="eastAsia"/>
        </w:rPr>
        <w:t>，联系</w:t>
      </w:r>
      <w:r w:rsidRPr="00725A0E">
        <w:t>电话：</w:t>
      </w:r>
      <w:r w:rsidRPr="00725A0E">
        <w:t>15223125993</w:t>
      </w:r>
      <w:r w:rsidRPr="00725A0E">
        <w:rPr>
          <w:rFonts w:hint="eastAsia"/>
        </w:rPr>
        <w:t>。报表编制工作相关信息</w:t>
      </w:r>
      <w:r w:rsidRPr="00725A0E">
        <w:t>将通过</w:t>
      </w:r>
      <w:r w:rsidRPr="00725A0E">
        <w:rPr>
          <w:rFonts w:hint="eastAsia"/>
        </w:rPr>
        <w:t>微信群（加入时</w:t>
      </w:r>
      <w:r w:rsidRPr="00725A0E">
        <w:t>请与联系人对接）</w:t>
      </w:r>
      <w:r w:rsidRPr="00725A0E">
        <w:rPr>
          <w:rFonts w:hint="eastAsia"/>
        </w:rPr>
        <w:t>、</w:t>
      </w:r>
      <w:r w:rsidRPr="00725A0E">
        <w:t>QQ</w:t>
      </w:r>
      <w:r w:rsidRPr="00725A0E">
        <w:t>群</w:t>
      </w:r>
      <w:r w:rsidRPr="00725A0E">
        <w:rPr>
          <w:rFonts w:hint="eastAsia"/>
        </w:rPr>
        <w:t>（</w:t>
      </w:r>
      <w:r w:rsidRPr="00725A0E">
        <w:t>群号：</w:t>
      </w:r>
      <w:r w:rsidRPr="00725A0E">
        <w:t>253140743</w:t>
      </w:r>
      <w:r w:rsidRPr="00725A0E">
        <w:rPr>
          <w:rFonts w:hint="eastAsia"/>
        </w:rPr>
        <w:t>）</w:t>
      </w:r>
      <w:r w:rsidRPr="00725A0E">
        <w:t>及业务管理平台发布</w:t>
      </w:r>
      <w:r w:rsidRPr="00725A0E">
        <w:rPr>
          <w:rFonts w:hint="eastAsia"/>
        </w:rPr>
        <w:t>，请各单位相关工作人员及时</w:t>
      </w:r>
      <w:r w:rsidRPr="00725A0E">
        <w:t>关注</w:t>
      </w:r>
      <w:r w:rsidRPr="00725A0E">
        <w:rPr>
          <w:rFonts w:hint="eastAsia"/>
        </w:rPr>
        <w:t>信息。</w:t>
      </w:r>
    </w:p>
    <w:p w:rsidR="00720F24" w:rsidRPr="00725A0E" w:rsidRDefault="00720F24" w:rsidP="00720F24">
      <w:pPr>
        <w:spacing w:line="578" w:lineRule="exact"/>
        <w:ind w:firstLineChars="200" w:firstLine="640"/>
        <w:rPr>
          <w:rFonts w:hint="eastAsia"/>
        </w:rPr>
      </w:pPr>
    </w:p>
    <w:p w:rsidR="00720F24" w:rsidRPr="00725A0E" w:rsidRDefault="00720F24" w:rsidP="00720F24">
      <w:pPr>
        <w:spacing w:line="578" w:lineRule="exact"/>
        <w:ind w:firstLineChars="200" w:firstLine="640"/>
      </w:pPr>
      <w:r w:rsidRPr="00725A0E">
        <w:t>附件：</w:t>
      </w:r>
      <w:r w:rsidRPr="00725A0E">
        <w:rPr>
          <w:rFonts w:hint="eastAsia"/>
        </w:rPr>
        <w:t>1.</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表〔银行类〕的通知》（财金〔</w:t>
      </w:r>
      <w:r w:rsidRPr="00725A0E">
        <w:rPr>
          <w:rFonts w:hint="eastAsia"/>
        </w:rPr>
        <w:t>2024</w:t>
      </w:r>
      <w:r w:rsidRPr="00725A0E">
        <w:rPr>
          <w:rFonts w:hint="eastAsia"/>
        </w:rPr>
        <w:t>〕</w:t>
      </w:r>
      <w:r w:rsidRPr="00725A0E">
        <w:rPr>
          <w:rFonts w:hint="eastAsia"/>
        </w:rPr>
        <w:t>106</w:t>
      </w:r>
      <w:r w:rsidRPr="00725A0E">
        <w:rPr>
          <w:rFonts w:hint="eastAsia"/>
        </w:rPr>
        <w:t>号）</w:t>
      </w:r>
    </w:p>
    <w:p w:rsidR="00720F24" w:rsidRPr="00725A0E" w:rsidRDefault="00720F24" w:rsidP="00720F24">
      <w:pPr>
        <w:spacing w:line="578" w:lineRule="exact"/>
        <w:ind w:firstLineChars="503" w:firstLine="1610"/>
      </w:pPr>
      <w:r w:rsidRPr="00725A0E">
        <w:rPr>
          <w:rFonts w:hint="eastAsia"/>
        </w:rPr>
        <w:t>2.</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表〔证券类〕的通知》（财金〔</w:t>
      </w:r>
      <w:r w:rsidRPr="00725A0E">
        <w:rPr>
          <w:rFonts w:hint="eastAsia"/>
        </w:rPr>
        <w:t>2024</w:t>
      </w:r>
      <w:r w:rsidRPr="00725A0E">
        <w:rPr>
          <w:rFonts w:hint="eastAsia"/>
        </w:rPr>
        <w:t>〕</w:t>
      </w:r>
      <w:r w:rsidRPr="00725A0E">
        <w:rPr>
          <w:rFonts w:hint="eastAsia"/>
        </w:rPr>
        <w:t>107</w:t>
      </w:r>
      <w:r w:rsidRPr="00725A0E">
        <w:rPr>
          <w:rFonts w:hint="eastAsia"/>
        </w:rPr>
        <w:t>号）</w:t>
      </w:r>
    </w:p>
    <w:p w:rsidR="00720F24" w:rsidRPr="00725A0E" w:rsidRDefault="00720F24" w:rsidP="00720F24">
      <w:pPr>
        <w:spacing w:line="578" w:lineRule="exact"/>
        <w:ind w:firstLineChars="503" w:firstLine="1610"/>
      </w:pPr>
      <w:r w:rsidRPr="00725A0E">
        <w:rPr>
          <w:rFonts w:hint="eastAsia"/>
        </w:rPr>
        <w:t>3.</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表〔保险类〕的通知》（财金〔</w:t>
      </w:r>
      <w:r w:rsidRPr="00725A0E">
        <w:rPr>
          <w:rFonts w:hint="eastAsia"/>
        </w:rPr>
        <w:t>2024</w:t>
      </w:r>
      <w:r w:rsidRPr="00725A0E">
        <w:rPr>
          <w:rFonts w:hint="eastAsia"/>
        </w:rPr>
        <w:t>〕</w:t>
      </w:r>
      <w:r w:rsidRPr="00725A0E">
        <w:rPr>
          <w:rFonts w:hint="eastAsia"/>
        </w:rPr>
        <w:t>108</w:t>
      </w:r>
      <w:r w:rsidRPr="00725A0E">
        <w:rPr>
          <w:rFonts w:hint="eastAsia"/>
        </w:rPr>
        <w:t>号）</w:t>
      </w:r>
    </w:p>
    <w:p w:rsidR="00720F24" w:rsidRPr="00725A0E" w:rsidRDefault="00720F24" w:rsidP="00720F24">
      <w:pPr>
        <w:spacing w:line="578" w:lineRule="exact"/>
        <w:ind w:firstLineChars="503" w:firstLine="1610"/>
      </w:pPr>
      <w:r w:rsidRPr="00725A0E">
        <w:rPr>
          <w:rFonts w:hint="eastAsia"/>
        </w:rPr>
        <w:lastRenderedPageBreak/>
        <w:t>4.</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表〔担保类〕的通知》（财金〔</w:t>
      </w:r>
      <w:r w:rsidRPr="00725A0E">
        <w:rPr>
          <w:rFonts w:hint="eastAsia"/>
        </w:rPr>
        <w:t>2024</w:t>
      </w:r>
      <w:r w:rsidRPr="00725A0E">
        <w:rPr>
          <w:rFonts w:hint="eastAsia"/>
        </w:rPr>
        <w:t>〕</w:t>
      </w:r>
      <w:r w:rsidRPr="00725A0E">
        <w:rPr>
          <w:rFonts w:hint="eastAsia"/>
        </w:rPr>
        <w:t>109</w:t>
      </w:r>
      <w:r w:rsidRPr="00725A0E">
        <w:rPr>
          <w:rFonts w:hint="eastAsia"/>
        </w:rPr>
        <w:t>号）</w:t>
      </w:r>
    </w:p>
    <w:p w:rsidR="00720F24" w:rsidRPr="00725A0E" w:rsidRDefault="00720F24" w:rsidP="00720F24">
      <w:pPr>
        <w:spacing w:line="578" w:lineRule="exact"/>
        <w:ind w:firstLineChars="503" w:firstLine="1610"/>
      </w:pPr>
      <w:r w:rsidRPr="00725A0E">
        <w:rPr>
          <w:rFonts w:hint="eastAsia"/>
        </w:rPr>
        <w:t>5.</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表〔金融资产管理公司类〕的通知》（财金〔</w:t>
      </w:r>
      <w:r w:rsidRPr="00725A0E">
        <w:rPr>
          <w:rFonts w:hint="eastAsia"/>
        </w:rPr>
        <w:t>2024</w:t>
      </w:r>
      <w:r w:rsidRPr="00725A0E">
        <w:rPr>
          <w:rFonts w:hint="eastAsia"/>
        </w:rPr>
        <w:t>〕</w:t>
      </w:r>
    </w:p>
    <w:p w:rsidR="00720F24" w:rsidRPr="00725A0E" w:rsidRDefault="00720F24" w:rsidP="00720F24">
      <w:pPr>
        <w:spacing w:line="578" w:lineRule="exact"/>
        <w:ind w:firstLineChars="581" w:firstLine="1859"/>
      </w:pPr>
      <w:r w:rsidRPr="00725A0E">
        <w:rPr>
          <w:rFonts w:hint="eastAsia"/>
        </w:rPr>
        <w:t>110</w:t>
      </w:r>
      <w:r w:rsidRPr="00725A0E">
        <w:rPr>
          <w:rFonts w:hint="eastAsia"/>
        </w:rPr>
        <w:t>号）</w:t>
      </w:r>
    </w:p>
    <w:p w:rsidR="00720F24" w:rsidRPr="00725A0E" w:rsidRDefault="00720F24" w:rsidP="00720F24">
      <w:pPr>
        <w:spacing w:line="578" w:lineRule="exact"/>
        <w:ind w:firstLineChars="503" w:firstLine="1610"/>
      </w:pPr>
      <w:r w:rsidRPr="00725A0E">
        <w:rPr>
          <w:rFonts w:hint="eastAsia"/>
        </w:rPr>
        <w:t>6.</w:t>
      </w:r>
      <w:r w:rsidRPr="00725A0E">
        <w:rPr>
          <w:rFonts w:hint="eastAsia"/>
        </w:rPr>
        <w:t>《财政部关于编报</w:t>
      </w:r>
      <w:r w:rsidRPr="00725A0E">
        <w:rPr>
          <w:rFonts w:hint="eastAsia"/>
        </w:rPr>
        <w:t>2024</w:t>
      </w:r>
      <w:r w:rsidRPr="00725A0E">
        <w:rPr>
          <w:rFonts w:hint="eastAsia"/>
        </w:rPr>
        <w:t>年度金融企业财务决算报</w:t>
      </w:r>
    </w:p>
    <w:p w:rsidR="00720F24" w:rsidRPr="00725A0E" w:rsidRDefault="00720F24" w:rsidP="00720F24">
      <w:pPr>
        <w:spacing w:line="578" w:lineRule="exact"/>
        <w:ind w:firstLineChars="581" w:firstLine="1859"/>
      </w:pPr>
      <w:r w:rsidRPr="00725A0E">
        <w:rPr>
          <w:rFonts w:hint="eastAsia"/>
        </w:rPr>
        <w:t>表〔金融控股公司、金融投资运营公司及其他金融</w:t>
      </w:r>
    </w:p>
    <w:p w:rsidR="00720F24" w:rsidRPr="00725A0E" w:rsidRDefault="00720F24" w:rsidP="00720F24">
      <w:pPr>
        <w:spacing w:line="578" w:lineRule="exact"/>
        <w:ind w:firstLineChars="581" w:firstLine="1859"/>
      </w:pPr>
      <w:r w:rsidRPr="00725A0E">
        <w:rPr>
          <w:rFonts w:hint="eastAsia"/>
        </w:rPr>
        <w:t>企业类〕的通知》（财金〔</w:t>
      </w:r>
      <w:r w:rsidRPr="00725A0E">
        <w:rPr>
          <w:rFonts w:hint="eastAsia"/>
        </w:rPr>
        <w:t>2024</w:t>
      </w:r>
      <w:r w:rsidRPr="00725A0E">
        <w:rPr>
          <w:rFonts w:hint="eastAsia"/>
        </w:rPr>
        <w:t>〕</w:t>
      </w:r>
      <w:r w:rsidRPr="00725A0E">
        <w:rPr>
          <w:rFonts w:hint="eastAsia"/>
        </w:rPr>
        <w:t>111</w:t>
      </w:r>
      <w:r w:rsidRPr="00725A0E">
        <w:rPr>
          <w:rFonts w:hint="eastAsia"/>
        </w:rPr>
        <w:t>号）</w:t>
      </w:r>
    </w:p>
    <w:p w:rsidR="00720F24" w:rsidRPr="00725A0E" w:rsidRDefault="00720F24" w:rsidP="00720F24">
      <w:pPr>
        <w:spacing w:line="578" w:lineRule="exact"/>
        <w:ind w:firstLineChars="503" w:firstLine="1610"/>
      </w:pPr>
      <w:r w:rsidRPr="00725A0E">
        <w:rPr>
          <w:rFonts w:hint="eastAsia"/>
        </w:rPr>
        <w:t>7.</w:t>
      </w:r>
      <w:r w:rsidRPr="00725A0E">
        <w:rPr>
          <w:rFonts w:hint="eastAsia"/>
        </w:rPr>
        <w:t>《财政部关于修订金融企业财务快报有关事项的通</w:t>
      </w:r>
    </w:p>
    <w:p w:rsidR="00720F24" w:rsidRPr="00725A0E" w:rsidRDefault="00720F24" w:rsidP="00720F24">
      <w:pPr>
        <w:spacing w:line="578" w:lineRule="exact"/>
        <w:ind w:firstLineChars="581" w:firstLine="1859"/>
      </w:pPr>
      <w:r w:rsidRPr="00725A0E">
        <w:rPr>
          <w:rFonts w:hint="eastAsia"/>
        </w:rPr>
        <w:t>知》（财金〔</w:t>
      </w:r>
      <w:r w:rsidRPr="00725A0E">
        <w:rPr>
          <w:rFonts w:hint="eastAsia"/>
        </w:rPr>
        <w:t>2024</w:t>
      </w:r>
      <w:r w:rsidRPr="00725A0E">
        <w:rPr>
          <w:rFonts w:hint="eastAsia"/>
        </w:rPr>
        <w:t>〕</w:t>
      </w:r>
      <w:r w:rsidRPr="00725A0E">
        <w:rPr>
          <w:rFonts w:hint="eastAsia"/>
        </w:rPr>
        <w:t>112</w:t>
      </w:r>
      <w:r w:rsidRPr="00725A0E">
        <w:rPr>
          <w:rFonts w:hint="eastAsia"/>
        </w:rPr>
        <w:t>号）</w:t>
      </w:r>
    </w:p>
    <w:p w:rsidR="00720F24" w:rsidRPr="00725A0E" w:rsidRDefault="00720F24" w:rsidP="00720F24">
      <w:pPr>
        <w:spacing w:line="578" w:lineRule="exact"/>
        <w:ind w:firstLineChars="200" w:firstLine="640"/>
      </w:pPr>
    </w:p>
    <w:p w:rsidR="00720F24" w:rsidRPr="00725A0E" w:rsidRDefault="00720F24" w:rsidP="00720F24">
      <w:pPr>
        <w:spacing w:line="578" w:lineRule="exact"/>
      </w:pPr>
    </w:p>
    <w:p w:rsidR="00720F24" w:rsidRPr="00725A0E" w:rsidRDefault="00720F24" w:rsidP="00720F24">
      <w:pPr>
        <w:spacing w:line="578" w:lineRule="exact"/>
      </w:pPr>
    </w:p>
    <w:p w:rsidR="00720F24" w:rsidRPr="00725A0E" w:rsidRDefault="00720F24" w:rsidP="00720F24">
      <w:pPr>
        <w:spacing w:line="578" w:lineRule="exact"/>
        <w:ind w:firstLineChars="1736" w:firstLine="5555"/>
      </w:pPr>
      <w:r w:rsidRPr="00725A0E">
        <w:rPr>
          <w:rFonts w:hint="eastAsia"/>
        </w:rPr>
        <w:t>重庆市财政局</w:t>
      </w:r>
    </w:p>
    <w:p w:rsidR="00720F24" w:rsidRPr="00725A0E" w:rsidRDefault="00720F24" w:rsidP="00720F24">
      <w:pPr>
        <w:spacing w:line="578" w:lineRule="exact"/>
        <w:ind w:firstLineChars="1658" w:firstLine="5306"/>
      </w:pPr>
      <w:r w:rsidRPr="00725A0E">
        <w:rPr>
          <w:rFonts w:hint="eastAsia"/>
        </w:rPr>
        <w:t>20</w:t>
      </w:r>
      <w:r w:rsidRPr="00725A0E">
        <w:t>24</w:t>
      </w:r>
      <w:r w:rsidRPr="00725A0E">
        <w:rPr>
          <w:rFonts w:hint="eastAsia"/>
        </w:rPr>
        <w:t>年</w:t>
      </w:r>
      <w:r w:rsidRPr="00725A0E">
        <w:t>12</w:t>
      </w:r>
      <w:r w:rsidRPr="00725A0E">
        <w:rPr>
          <w:rFonts w:hint="eastAsia"/>
        </w:rPr>
        <w:t>月</w:t>
      </w:r>
      <w:r w:rsidRPr="00725A0E">
        <w:t>27</w:t>
      </w:r>
      <w:r w:rsidRPr="00725A0E">
        <w:rPr>
          <w:rFonts w:hint="eastAsia"/>
        </w:rPr>
        <w:t>日</w:t>
      </w:r>
    </w:p>
    <w:p w:rsidR="00720F24" w:rsidRPr="00725A0E" w:rsidRDefault="00720F24" w:rsidP="00720F24">
      <w:pPr>
        <w:spacing w:line="578" w:lineRule="exact"/>
        <w:ind w:firstLineChars="200" w:firstLine="640"/>
      </w:pPr>
      <w:r w:rsidRPr="00725A0E">
        <w:rPr>
          <w:rFonts w:hint="eastAsia"/>
        </w:rPr>
        <w:t>（此件主动公开</w:t>
      </w:r>
      <w:r w:rsidRPr="00725A0E">
        <w:t>）</w:t>
      </w:r>
    </w:p>
    <w:p w:rsidR="00720F24" w:rsidRPr="00720F24" w:rsidRDefault="00720F24" w:rsidP="00720F24">
      <w:pPr>
        <w:pStyle w:val="a0"/>
        <w:rPr>
          <w:rFonts w:hint="eastAsia"/>
        </w:rPr>
      </w:pPr>
    </w:p>
    <w:sectPr w:rsidR="00720F24" w:rsidRPr="00720F24"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26" w:rsidRDefault="00C80326">
      <w:pPr>
        <w:spacing w:line="240" w:lineRule="auto"/>
      </w:pPr>
      <w:r>
        <w:separator/>
      </w:r>
    </w:p>
  </w:endnote>
  <w:endnote w:type="continuationSeparator" w:id="0">
    <w:p w:rsidR="00C80326" w:rsidRDefault="00C80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393AB2F-D755-4BDB-9A14-73F224BF383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F8A4A7EE-F63E-47FE-A593-F505853A18CB}"/>
  </w:font>
  <w:font w:name="楷体">
    <w:charset w:val="86"/>
    <w:family w:val="modern"/>
    <w:pitch w:val="fixed"/>
    <w:sig w:usb0="800002BF" w:usb1="38CF7CFA" w:usb2="00000016" w:usb3="00000000" w:csb0="00040001" w:csb1="00000000"/>
    <w:embedRegular r:id="rId3" w:subsetted="1" w:fontKey="{72E391D1-6C12-4559-BD44-F37B4A8DCDCA}"/>
  </w:font>
  <w:font w:name="方正黑体_GBK">
    <w:altName w:val="等线"/>
    <w:charset w:val="86"/>
    <w:family w:val="script"/>
    <w:pitch w:val="fixed"/>
    <w:sig w:usb0="00000001"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F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F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26" w:rsidRDefault="00C80326">
      <w:pPr>
        <w:spacing w:line="240" w:lineRule="auto"/>
      </w:pPr>
      <w:r>
        <w:separator/>
      </w:r>
    </w:p>
  </w:footnote>
  <w:footnote w:type="continuationSeparator" w:id="0">
    <w:p w:rsidR="00C80326" w:rsidRDefault="00C80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B3"/>
    <w:rsid w:val="00082E38"/>
    <w:rsid w:val="000C2C04"/>
    <w:rsid w:val="00100343"/>
    <w:rsid w:val="001017F0"/>
    <w:rsid w:val="0010405A"/>
    <w:rsid w:val="001059C0"/>
    <w:rsid w:val="0011379E"/>
    <w:rsid w:val="001272E5"/>
    <w:rsid w:val="001504F6"/>
    <w:rsid w:val="00172A27"/>
    <w:rsid w:val="00180CA0"/>
    <w:rsid w:val="001815C9"/>
    <w:rsid w:val="001924CF"/>
    <w:rsid w:val="00192AE2"/>
    <w:rsid w:val="0019360C"/>
    <w:rsid w:val="00193AF5"/>
    <w:rsid w:val="00193ECF"/>
    <w:rsid w:val="001A38B7"/>
    <w:rsid w:val="001A4AC6"/>
    <w:rsid w:val="001B1116"/>
    <w:rsid w:val="001B3E84"/>
    <w:rsid w:val="001D7C26"/>
    <w:rsid w:val="001E0489"/>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22AF0"/>
    <w:rsid w:val="00351D0B"/>
    <w:rsid w:val="00353EE7"/>
    <w:rsid w:val="00354A68"/>
    <w:rsid w:val="00357AAF"/>
    <w:rsid w:val="00383443"/>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41F41"/>
    <w:rsid w:val="00566014"/>
    <w:rsid w:val="00584BC3"/>
    <w:rsid w:val="00597E69"/>
    <w:rsid w:val="005A6704"/>
    <w:rsid w:val="005D0DB0"/>
    <w:rsid w:val="005E0EF8"/>
    <w:rsid w:val="005E2BCD"/>
    <w:rsid w:val="005E308C"/>
    <w:rsid w:val="00610F2D"/>
    <w:rsid w:val="00621C64"/>
    <w:rsid w:val="00643807"/>
    <w:rsid w:val="006509F5"/>
    <w:rsid w:val="006512E1"/>
    <w:rsid w:val="0067679D"/>
    <w:rsid w:val="006878C8"/>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240CA"/>
    <w:rsid w:val="008305EC"/>
    <w:rsid w:val="00844EE4"/>
    <w:rsid w:val="00850C21"/>
    <w:rsid w:val="0085102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D7357"/>
    <w:rsid w:val="009E1431"/>
    <w:rsid w:val="009F7988"/>
    <w:rsid w:val="00A0470C"/>
    <w:rsid w:val="00A2600B"/>
    <w:rsid w:val="00A33013"/>
    <w:rsid w:val="00A34887"/>
    <w:rsid w:val="00A40D9D"/>
    <w:rsid w:val="00A43229"/>
    <w:rsid w:val="00A446D2"/>
    <w:rsid w:val="00A860D2"/>
    <w:rsid w:val="00A92DD2"/>
    <w:rsid w:val="00A930AF"/>
    <w:rsid w:val="00AA0CAE"/>
    <w:rsid w:val="00AB1CDC"/>
    <w:rsid w:val="00AE0386"/>
    <w:rsid w:val="00B00990"/>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80326"/>
    <w:rsid w:val="00C82C2E"/>
    <w:rsid w:val="00C84BE2"/>
    <w:rsid w:val="00CB2CCF"/>
    <w:rsid w:val="00CC4066"/>
    <w:rsid w:val="00CC6986"/>
    <w:rsid w:val="00CC7EC5"/>
    <w:rsid w:val="00CE3EAC"/>
    <w:rsid w:val="00CF525F"/>
    <w:rsid w:val="00D075B5"/>
    <w:rsid w:val="00D172B6"/>
    <w:rsid w:val="00D621CC"/>
    <w:rsid w:val="00DA5409"/>
    <w:rsid w:val="00DB2465"/>
    <w:rsid w:val="00DC5A29"/>
    <w:rsid w:val="00DC753A"/>
    <w:rsid w:val="00DE3B57"/>
    <w:rsid w:val="00DE5B1C"/>
    <w:rsid w:val="00E04ACD"/>
    <w:rsid w:val="00E2641F"/>
    <w:rsid w:val="00E35997"/>
    <w:rsid w:val="00E46A6A"/>
    <w:rsid w:val="00E47B03"/>
    <w:rsid w:val="00E54327"/>
    <w:rsid w:val="00E55F89"/>
    <w:rsid w:val="00E6185D"/>
    <w:rsid w:val="00E65056"/>
    <w:rsid w:val="00E67507"/>
    <w:rsid w:val="00E70B04"/>
    <w:rsid w:val="00E80CCB"/>
    <w:rsid w:val="00E8116B"/>
    <w:rsid w:val="00E83D63"/>
    <w:rsid w:val="00E97F10"/>
    <w:rsid w:val="00EA6DB7"/>
    <w:rsid w:val="00EC2A7F"/>
    <w:rsid w:val="00EF44DC"/>
    <w:rsid w:val="00F0546A"/>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8DC1B"/>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qsczjchenzijian@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2024-12-31T09:40:00Z</dcterms:created>
  <dcterms:modified xsi:type="dcterms:W3CDTF">2024-12-31T09:40:00Z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