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88" w:rsidRDefault="00B92688" w:rsidP="00B92688">
      <w:pPr>
        <w:adjustRightInd w:val="0"/>
        <w:spacing w:after="120" w:line="275" w:lineRule="atLeast"/>
        <w:textAlignment w:val="baseline"/>
        <w:rPr>
          <w:rFonts w:eastAsia="方正黑体_GBK"/>
        </w:rPr>
      </w:pPr>
      <w:r>
        <w:rPr>
          <w:rFonts w:eastAsia="方正黑体_GBK" w:hint="eastAsia"/>
        </w:rPr>
        <w:t>附件</w:t>
      </w:r>
      <w:r>
        <w:rPr>
          <w:rFonts w:eastAsia="方正黑体_GBK"/>
        </w:rPr>
        <w:t>1</w:t>
      </w:r>
    </w:p>
    <w:p w:rsidR="00B92688" w:rsidRDefault="00B92688" w:rsidP="00B92688">
      <w:pPr>
        <w:adjustRightInd w:val="0"/>
        <w:spacing w:line="540" w:lineRule="exact"/>
        <w:jc w:val="center"/>
        <w:rPr>
          <w:rFonts w:eastAsia="方正小标宋_GBK" w:cs="方正小标宋_GBK" w:hint="eastAsia"/>
          <w:sz w:val="40"/>
          <w:szCs w:val="40"/>
        </w:rPr>
      </w:pPr>
      <w:r>
        <w:rPr>
          <w:rFonts w:eastAsia="方正小标宋_GBK" w:cs="方正小标宋_GBK" w:hint="eastAsia"/>
          <w:sz w:val="40"/>
          <w:szCs w:val="40"/>
        </w:rPr>
        <w:t>提前下达</w:t>
      </w:r>
      <w:r>
        <w:rPr>
          <w:rFonts w:eastAsia="方正小标宋_GBK" w:cs="方正小标宋_GBK" w:hint="eastAsia"/>
          <w:sz w:val="40"/>
          <w:szCs w:val="40"/>
        </w:rPr>
        <w:t>2025</w:t>
      </w:r>
      <w:r>
        <w:rPr>
          <w:rFonts w:eastAsia="方正小标宋_GBK" w:cs="方正小标宋_GBK" w:hint="eastAsia"/>
          <w:sz w:val="40"/>
          <w:szCs w:val="40"/>
        </w:rPr>
        <w:t>年中央土壤污染防治资金预算表</w:t>
      </w:r>
    </w:p>
    <w:p w:rsidR="00B92688" w:rsidRDefault="00B92688" w:rsidP="00B92688">
      <w:pPr>
        <w:wordWrap w:val="0"/>
        <w:adjustRightInd w:val="0"/>
        <w:spacing w:line="540" w:lineRule="exact"/>
        <w:jc w:val="right"/>
        <w:rPr>
          <w:rFonts w:eastAsia="方正仿宋_GBK" w:hint="eastAsia"/>
          <w:sz w:val="28"/>
          <w:szCs w:val="28"/>
        </w:rPr>
      </w:pPr>
      <w:r>
        <w:rPr>
          <w:rFonts w:eastAsia="方正仿宋_GBK"/>
          <w:sz w:val="28"/>
          <w:szCs w:val="28"/>
        </w:rPr>
        <w:t>单位：万元</w:t>
      </w:r>
      <w:r>
        <w:rPr>
          <w:rFonts w:eastAsia="方正仿宋_GBK" w:hint="eastAsia"/>
          <w:sz w:val="28"/>
          <w:szCs w:val="28"/>
        </w:rPr>
        <w:t xml:space="preserve">   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865"/>
        <w:gridCol w:w="1237"/>
        <w:gridCol w:w="2359"/>
        <w:gridCol w:w="992"/>
        <w:gridCol w:w="1701"/>
        <w:gridCol w:w="1134"/>
      </w:tblGrid>
      <w:tr w:rsidR="00B92688" w:rsidTr="00B92688">
        <w:trPr>
          <w:trHeight w:val="567"/>
          <w:tblHeader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方正黑体_GBK" w:cs="方正黑体_GBK" w:hint="eastAsia"/>
                <w:sz w:val="21"/>
                <w:szCs w:val="21"/>
              </w:rPr>
            </w:pPr>
            <w:r>
              <w:rPr>
                <w:rFonts w:eastAsia="方正黑体_GBK" w:cs="方正黑体_GBK" w:hint="eastAsia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方正黑体_GBK" w:cs="方正黑体_GBK" w:hint="eastAsia"/>
                <w:sz w:val="21"/>
                <w:szCs w:val="21"/>
              </w:rPr>
            </w:pPr>
            <w:r>
              <w:rPr>
                <w:rFonts w:eastAsia="方正黑体_GBK" w:cs="方正黑体_GBK" w:hint="eastAsia"/>
                <w:kern w:val="0"/>
                <w:sz w:val="21"/>
                <w:szCs w:val="21"/>
                <w:lang w:bidi="ar"/>
              </w:rPr>
              <w:t>区县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方正黑体_GBK" w:cs="方正黑体_GBK" w:hint="eastAsia"/>
                <w:sz w:val="21"/>
                <w:szCs w:val="21"/>
              </w:rPr>
            </w:pPr>
            <w:r>
              <w:rPr>
                <w:rFonts w:eastAsia="方正黑体_GBK" w:cs="方正黑体_GBK" w:hint="eastAsia"/>
                <w:kern w:val="0"/>
                <w:sz w:val="21"/>
                <w:szCs w:val="21"/>
                <w:lang w:bidi="ar"/>
              </w:rPr>
              <w:t>承担单位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方正黑体_GBK" w:cs="方正黑体_GBK" w:hint="eastAsia"/>
                <w:sz w:val="21"/>
                <w:szCs w:val="21"/>
              </w:rPr>
            </w:pPr>
            <w:r>
              <w:rPr>
                <w:rFonts w:eastAsia="方正黑体_GBK" w:cs="方正黑体_GBK" w:hint="eastAsia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92688" w:rsidRDefault="00B92688" w:rsidP="00B9268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方正黑体_GBK" w:cs="方正黑体_GBK" w:hint="eastAsia"/>
                <w:sz w:val="21"/>
                <w:szCs w:val="21"/>
              </w:rPr>
            </w:pPr>
            <w:r>
              <w:rPr>
                <w:rFonts w:eastAsia="方正黑体_GBK" w:cs="方正黑体_GBK" w:hint="eastAsia"/>
                <w:kern w:val="0"/>
                <w:sz w:val="21"/>
                <w:szCs w:val="21"/>
                <w:lang w:bidi="ar"/>
              </w:rPr>
              <w:t>总投资</w:t>
            </w:r>
          </w:p>
        </w:tc>
        <w:tc>
          <w:tcPr>
            <w:tcW w:w="1701" w:type="dxa"/>
            <w:vAlign w:val="center"/>
          </w:tcPr>
          <w:p w:rsidR="00B92688" w:rsidRDefault="00B92688" w:rsidP="00B9268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方正黑体_GBK" w:cs="方正黑体_GBK" w:hint="eastAsia"/>
                <w:sz w:val="21"/>
                <w:szCs w:val="21"/>
              </w:rPr>
            </w:pPr>
            <w:r>
              <w:rPr>
                <w:rFonts w:eastAsia="方正黑体_GBK" w:cs="方正黑体_GBK" w:hint="eastAsia"/>
                <w:kern w:val="0"/>
                <w:sz w:val="21"/>
                <w:szCs w:val="21"/>
                <w:lang w:bidi="ar"/>
              </w:rPr>
              <w:t>已</w:t>
            </w:r>
            <w:r>
              <w:rPr>
                <w:rFonts w:eastAsia="方正黑体_GBK" w:cs="方正黑体_GBK" w:hint="eastAsia"/>
                <w:kern w:val="0"/>
                <w:sz w:val="21"/>
                <w:szCs w:val="21"/>
                <w:lang w:bidi="ar"/>
              </w:rPr>
              <w:t>获得</w:t>
            </w:r>
            <w:r>
              <w:rPr>
                <w:rFonts w:eastAsia="方正黑体_GBK" w:cs="方正黑体_GBK" w:hint="eastAsia"/>
                <w:kern w:val="0"/>
                <w:sz w:val="21"/>
                <w:szCs w:val="21"/>
                <w:lang w:bidi="ar"/>
              </w:rPr>
              <w:t>补助</w:t>
            </w:r>
            <w:r>
              <w:rPr>
                <w:rFonts w:eastAsia="方正黑体_GBK" w:cs="方正黑体_GBK" w:hint="eastAsia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134" w:type="dxa"/>
            <w:vAlign w:val="center"/>
          </w:tcPr>
          <w:p w:rsidR="00B92688" w:rsidRPr="00B92688" w:rsidRDefault="00B92688" w:rsidP="00B9268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方正黑体_GBK" w:cs="方正黑体_GBK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 w:cs="方正黑体_GBK" w:hint="eastAsia"/>
                <w:kern w:val="0"/>
                <w:sz w:val="21"/>
                <w:szCs w:val="21"/>
                <w:lang w:bidi="ar"/>
              </w:rPr>
              <w:t>补助金额</w:t>
            </w:r>
          </w:p>
        </w:tc>
      </w:tr>
      <w:tr w:rsidR="00B92688" w:rsidTr="00B92688">
        <w:trPr>
          <w:trHeight w:val="39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云阳县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云阳县生态环境监测站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云阳县上坝乡关停硫铁矿渣场治理项目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2092.32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年第二批支持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282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905</w:t>
            </w:r>
          </w:p>
        </w:tc>
      </w:tr>
      <w:tr w:rsidR="00B92688" w:rsidTr="00B92688">
        <w:trPr>
          <w:trHeight w:val="39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重庆綦创建设开发有限公司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綦江区羊渡河流域逢春煤矿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670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矸石山历史遗留污染源整治项目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2810.89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年支持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549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万元；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年第二批支持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374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万元。共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923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796</w:t>
            </w:r>
          </w:p>
        </w:tc>
      </w:tr>
      <w:tr w:rsidR="00B92688" w:rsidTr="00B92688">
        <w:trPr>
          <w:trHeight w:val="39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市本级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17"/>
                <w:kern w:val="0"/>
                <w:sz w:val="20"/>
                <w:szCs w:val="20"/>
                <w:lang w:bidi="ar"/>
              </w:rPr>
              <w:t>重庆市固体废物管理中心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重庆市建设用地地块空间信息调查项目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1107.13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年第二批支持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829</w:t>
            </w: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167</w:t>
            </w:r>
          </w:p>
        </w:tc>
      </w:tr>
      <w:tr w:rsidR="00B92688" w:rsidTr="00B92688">
        <w:trPr>
          <w:trHeight w:val="39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市本级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重庆市生态环境科学研究院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重庆市土壤污染重点监管单位周边土壤环境监测项目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2844.02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年提前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批支持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1023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万元；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年第二批支持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250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万元。共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1273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460</w:t>
            </w:r>
          </w:p>
        </w:tc>
      </w:tr>
      <w:tr w:rsidR="00B92688" w:rsidTr="00B92688">
        <w:trPr>
          <w:trHeight w:val="39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市本级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>重庆市生态环境局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>重庆市</w:t>
            </w:r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>区县耕地土壤重金属污染成因排查项目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3197.86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年支持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1412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万元，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年提前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批支持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629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万元，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年提前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批支持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472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万元。共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2513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B92688" w:rsidTr="00B92688">
        <w:trPr>
          <w:trHeight w:val="39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65" w:type="dxa"/>
            <w:vAlign w:val="center"/>
          </w:tcPr>
          <w:p w:rsidR="00B92688" w:rsidRDefault="00B92688" w:rsidP="00193AED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綦江</w:t>
            </w:r>
            <w:r w:rsidR="00193AED"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区</w:t>
            </w:r>
            <w:bookmarkStart w:id="0" w:name="_GoBack"/>
            <w:bookmarkEnd w:id="0"/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>綦江区篆塘镇</w:t>
            </w:r>
            <w:proofErr w:type="gramEnd"/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>人民政府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>重庆市綦江县化工搪瓷厂原址地块</w:t>
            </w:r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>污染土壤及地下水修复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3315.17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年提前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批支持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895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万元，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年提前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批支持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476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万元。共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1371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1199</w:t>
            </w:r>
          </w:p>
        </w:tc>
      </w:tr>
      <w:tr w:rsidR="00B92688" w:rsidTr="00B92688">
        <w:trPr>
          <w:trHeight w:val="39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巫山县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>巫山县生态环境监测站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11"/>
                <w:kern w:val="0"/>
                <w:sz w:val="20"/>
                <w:szCs w:val="20"/>
                <w:lang w:bidi="ar"/>
              </w:rPr>
              <w:t>重庆市巫山县耕地土壤重金属污染成因排查项目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580.30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年度第二批支持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244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万元，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年度提前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批支持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171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万元。共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415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107</w:t>
            </w:r>
          </w:p>
        </w:tc>
      </w:tr>
      <w:tr w:rsidR="00B92688" w:rsidTr="00B92688">
        <w:trPr>
          <w:trHeight w:val="39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涪陵区生态环境监测站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重庆市涪陵区耕地土壤重金属污染成因排查项目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403.10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286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年度第二批支持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188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万元，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年度提前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批支持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117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万元。共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305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</w:tr>
      <w:tr w:rsidR="00B92688" w:rsidTr="00B92688">
        <w:trPr>
          <w:trHeight w:val="56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綦江区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17"/>
                <w:kern w:val="0"/>
                <w:sz w:val="20"/>
                <w:szCs w:val="20"/>
                <w:lang w:bidi="ar"/>
              </w:rPr>
              <w:t>重庆市綦江区生态环境局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重庆市綦江区耕地土壤重金属污染成因排查项目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697.40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年提前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批支持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373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万元。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164</w:t>
            </w:r>
          </w:p>
        </w:tc>
      </w:tr>
      <w:tr w:rsidR="00B92688" w:rsidTr="00B92688">
        <w:trPr>
          <w:trHeight w:val="56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重庆天原化工有限公司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重庆天原化工有限公司土壤污染源头预防项目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3055.66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年提前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批支持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545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316</w:t>
            </w:r>
          </w:p>
        </w:tc>
      </w:tr>
      <w:tr w:rsidR="00B92688" w:rsidTr="00B92688">
        <w:trPr>
          <w:trHeight w:val="56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石柱县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石柱土家族自治县生态环境监测站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6"/>
                <w:kern w:val="0"/>
                <w:sz w:val="20"/>
                <w:szCs w:val="20"/>
                <w:lang w:bidi="ar"/>
              </w:rPr>
              <w:t>重庆市石柱县耕地土壤重金属污染成因排查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344.05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年提前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批支持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208</w:t>
            </w:r>
          </w:p>
        </w:tc>
      </w:tr>
      <w:tr w:rsidR="00B92688" w:rsidTr="00B92688">
        <w:trPr>
          <w:trHeight w:val="56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荣昌区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17"/>
                <w:kern w:val="0"/>
                <w:sz w:val="20"/>
                <w:szCs w:val="20"/>
                <w:lang w:bidi="ar"/>
              </w:rPr>
              <w:t>重庆市荣昌区生态环境局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重庆市荣昌区耕地土壤重金属污染成因排查项目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514.16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年提前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批支持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237</w:t>
            </w: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148</w:t>
            </w:r>
          </w:p>
        </w:tc>
      </w:tr>
      <w:tr w:rsidR="00B92688" w:rsidTr="00B92688">
        <w:trPr>
          <w:trHeight w:val="2128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开州区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重庆市开州区生态环境监测站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重庆市开州区耕地土壤重金属污染成因排查项目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420.68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156</w:t>
            </w:r>
          </w:p>
        </w:tc>
      </w:tr>
      <w:tr w:rsidR="00B92688" w:rsidTr="00B92688">
        <w:trPr>
          <w:trHeight w:val="73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铜梁区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重庆重润表面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工程科技园建设有限公司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重庆重润表面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工程科技园土壤污染防治源头控制及废水提</w:t>
            </w: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标改造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3036.88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1005</w:t>
            </w:r>
          </w:p>
        </w:tc>
      </w:tr>
      <w:tr w:rsidR="00B92688" w:rsidTr="00B92688">
        <w:trPr>
          <w:trHeight w:val="73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万盛经开区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重庆万盛煤化有限责任公司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重庆万盛煤化有限责任公司土壤污染源头预防项目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416.56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129</w:t>
            </w:r>
          </w:p>
        </w:tc>
      </w:tr>
      <w:tr w:rsidR="00B92688" w:rsidTr="00B92688">
        <w:trPr>
          <w:trHeight w:val="73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重庆市武隆区生态环境监测站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重庆市武隆区耕地土壤重金属污染成因排查项目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438.91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216</w:t>
            </w:r>
          </w:p>
        </w:tc>
      </w:tr>
      <w:tr w:rsidR="00B92688" w:rsidTr="00B92688">
        <w:trPr>
          <w:trHeight w:val="73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江津区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江津区生态环境监测站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重庆市江津区耕地土壤重金属污染成因排查项目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596.70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301</w:t>
            </w:r>
          </w:p>
        </w:tc>
      </w:tr>
      <w:tr w:rsidR="00B92688" w:rsidTr="00B92688">
        <w:trPr>
          <w:trHeight w:val="73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巴南区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巴南区生态环境监测站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重庆市巴南区耕地土壤重金属污染成因排查项目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408.80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188</w:t>
            </w:r>
          </w:p>
        </w:tc>
      </w:tr>
      <w:tr w:rsidR="00B92688" w:rsidTr="00B92688">
        <w:trPr>
          <w:trHeight w:val="56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梁平区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spacing w:val="-17"/>
                <w:kern w:val="0"/>
                <w:sz w:val="20"/>
                <w:szCs w:val="20"/>
                <w:lang w:bidi="ar"/>
              </w:rPr>
              <w:t>重庆市梁平区生态环境局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重庆市梁平区耕地土壤重金属污染成因排查项目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392.77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187</w:t>
            </w:r>
          </w:p>
        </w:tc>
      </w:tr>
      <w:tr w:rsidR="00B92688" w:rsidTr="00B92688">
        <w:trPr>
          <w:trHeight w:val="567"/>
          <w:jc w:val="center"/>
        </w:trPr>
        <w:tc>
          <w:tcPr>
            <w:tcW w:w="49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65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237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重庆市港</w:t>
            </w:r>
            <w:proofErr w:type="gramEnd"/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城工业园区建设有限公司</w:t>
            </w:r>
          </w:p>
        </w:tc>
        <w:tc>
          <w:tcPr>
            <w:tcW w:w="2359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重庆丰源化学制品有限公司原址地块污染土壤及地下水修复项目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1929.62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kern w:val="0"/>
                <w:sz w:val="20"/>
                <w:szCs w:val="20"/>
                <w:lang w:bidi="ar"/>
              </w:rPr>
              <w:t>1025</w:t>
            </w:r>
          </w:p>
        </w:tc>
      </w:tr>
      <w:tr w:rsidR="00B92688" w:rsidTr="00B92688">
        <w:trPr>
          <w:trHeight w:val="567"/>
          <w:jc w:val="center"/>
        </w:trPr>
        <w:tc>
          <w:tcPr>
            <w:tcW w:w="4952" w:type="dxa"/>
            <w:gridSpan w:val="4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92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28602.98</w:t>
            </w:r>
          </w:p>
        </w:tc>
        <w:tc>
          <w:tcPr>
            <w:tcW w:w="1701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B92688" w:rsidRDefault="00B92688" w:rsidP="005E679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eastAsia="宋体" w:cs="宋体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8078</w:t>
            </w:r>
          </w:p>
        </w:tc>
      </w:tr>
    </w:tbl>
    <w:p w:rsidR="008C7242" w:rsidRDefault="008C7242">
      <w:pPr>
        <w:rPr>
          <w:rFonts w:hint="eastAsia"/>
        </w:rPr>
      </w:pPr>
    </w:p>
    <w:sectPr w:rsidR="008C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74" w:rsidRDefault="00E66A74" w:rsidP="00B92688">
      <w:r>
        <w:separator/>
      </w:r>
    </w:p>
  </w:endnote>
  <w:endnote w:type="continuationSeparator" w:id="0">
    <w:p w:rsidR="00E66A74" w:rsidRDefault="00E66A74" w:rsidP="00B9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74" w:rsidRDefault="00E66A74" w:rsidP="00B92688">
      <w:r>
        <w:separator/>
      </w:r>
    </w:p>
  </w:footnote>
  <w:footnote w:type="continuationSeparator" w:id="0">
    <w:p w:rsidR="00E66A74" w:rsidRDefault="00E66A74" w:rsidP="00B9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58"/>
  <w:drawingGridVerticalSpacing w:val="5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FB"/>
    <w:rsid w:val="00193AED"/>
    <w:rsid w:val="008C7242"/>
    <w:rsid w:val="009A27FB"/>
    <w:rsid w:val="00B92688"/>
    <w:rsid w:val="00DD1856"/>
    <w:rsid w:val="00E6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456AE7-958D-49AF-8270-CBF66D54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8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6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4</cp:revision>
  <dcterms:created xsi:type="dcterms:W3CDTF">2024-12-06T10:51:00Z</dcterms:created>
  <dcterms:modified xsi:type="dcterms:W3CDTF">2024-12-06T11:06:00Z</dcterms:modified>
</cp:coreProperties>
</file>