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07" w:rsidRDefault="00643807" w:rsidP="00643807">
      <w:pPr>
        <w:pStyle w:val="a4"/>
        <w:ind w:firstLine="440"/>
        <w:rPr>
          <w:rFonts w:eastAsia="方正小标宋_GBK"/>
          <w:sz w:val="44"/>
          <w:szCs w:val="44"/>
        </w:rPr>
      </w:pPr>
    </w:p>
    <w:p w:rsidR="00354A68" w:rsidRPr="00DE49AE" w:rsidRDefault="00354A68" w:rsidP="00354A68">
      <w:pPr>
        <w:spacing w:line="550" w:lineRule="exact"/>
        <w:jc w:val="center"/>
        <w:rPr>
          <w:rFonts w:eastAsia="方正小标宋_GBK"/>
          <w:sz w:val="44"/>
          <w:szCs w:val="44"/>
        </w:rPr>
      </w:pPr>
      <w:r w:rsidRPr="00DE49AE">
        <w:rPr>
          <w:rFonts w:eastAsia="方正小标宋_GBK" w:hint="eastAsia"/>
          <w:sz w:val="44"/>
          <w:szCs w:val="44"/>
        </w:rPr>
        <w:t>重庆市财政局关于下达</w:t>
      </w:r>
    </w:p>
    <w:p w:rsidR="00354A68" w:rsidRDefault="00354A68" w:rsidP="00354A68">
      <w:pPr>
        <w:spacing w:line="550" w:lineRule="exact"/>
        <w:jc w:val="center"/>
        <w:rPr>
          <w:rFonts w:eastAsia="方正小标宋_GBK"/>
          <w:sz w:val="44"/>
          <w:szCs w:val="44"/>
        </w:rPr>
      </w:pPr>
      <w:r w:rsidRPr="00DE49AE">
        <w:rPr>
          <w:rFonts w:eastAsia="方正小标宋_GBK" w:hint="eastAsia"/>
          <w:sz w:val="44"/>
          <w:szCs w:val="44"/>
        </w:rPr>
        <w:t>2024</w:t>
      </w:r>
      <w:r w:rsidRPr="00DE49AE">
        <w:rPr>
          <w:rFonts w:eastAsia="方正小标宋_GBK" w:hint="eastAsia"/>
          <w:sz w:val="44"/>
          <w:szCs w:val="44"/>
        </w:rPr>
        <w:t>年中央专项彩票公益金预算的通知</w:t>
      </w:r>
    </w:p>
    <w:p w:rsidR="00354A68" w:rsidRPr="00354A68" w:rsidRDefault="00354A68" w:rsidP="00354A68">
      <w:pPr>
        <w:pStyle w:val="a0"/>
        <w:jc w:val="center"/>
        <w:rPr>
          <w:rFonts w:ascii="楷体" w:eastAsia="楷体" w:hAnsi="楷体" w:hint="eastAsia"/>
        </w:rPr>
      </w:pPr>
      <w:bookmarkStart w:id="0" w:name="_GoBack"/>
      <w:r w:rsidRPr="00354A68">
        <w:rPr>
          <w:rFonts w:ascii="楷体" w:eastAsia="楷体" w:hAnsi="楷体" w:hint="eastAsia"/>
        </w:rPr>
        <w:t>渝财社〔2024〕64号</w:t>
      </w:r>
    </w:p>
    <w:bookmarkEnd w:id="0"/>
    <w:p w:rsidR="00354A68" w:rsidRPr="00DE49AE" w:rsidRDefault="00354A68" w:rsidP="00354A68">
      <w:pPr>
        <w:spacing w:line="550" w:lineRule="exact"/>
      </w:pPr>
    </w:p>
    <w:p w:rsidR="00354A68" w:rsidRPr="00DE49AE" w:rsidRDefault="00354A68" w:rsidP="00354A68">
      <w:pPr>
        <w:spacing w:line="550" w:lineRule="exact"/>
        <w:rPr>
          <w:rFonts w:hint="eastAsia"/>
        </w:rPr>
      </w:pPr>
      <w:r w:rsidRPr="00DE49AE">
        <w:rPr>
          <w:rFonts w:hint="eastAsia"/>
        </w:rPr>
        <w:t>各区县（自治县）财政局：</w:t>
      </w:r>
    </w:p>
    <w:p w:rsidR="00354A68" w:rsidRPr="00DE49AE" w:rsidRDefault="00354A68" w:rsidP="00354A68">
      <w:pPr>
        <w:spacing w:line="550" w:lineRule="exact"/>
        <w:ind w:firstLineChars="200" w:firstLine="640"/>
        <w:rPr>
          <w:rFonts w:hint="eastAsia"/>
        </w:rPr>
      </w:pPr>
      <w:r w:rsidRPr="00DE49AE">
        <w:rPr>
          <w:rFonts w:hint="eastAsia"/>
        </w:rPr>
        <w:t>根据《财政部</w:t>
      </w:r>
      <w:r w:rsidRPr="00DE49AE">
        <w:rPr>
          <w:rFonts w:hint="eastAsia"/>
        </w:rPr>
        <w:t xml:space="preserve"> </w:t>
      </w:r>
      <w:r w:rsidRPr="00DE49AE">
        <w:rPr>
          <w:rFonts w:hint="eastAsia"/>
        </w:rPr>
        <w:t>民政部关于下达</w:t>
      </w:r>
      <w:r w:rsidRPr="00DE49AE">
        <w:rPr>
          <w:rFonts w:hint="eastAsia"/>
        </w:rPr>
        <w:t>2024</w:t>
      </w:r>
      <w:r w:rsidRPr="00DE49AE">
        <w:rPr>
          <w:rFonts w:hint="eastAsia"/>
        </w:rPr>
        <w:t>年中央专项彩票公益金支持居家和社区基本养老服务提升行动项目资金预算的通知》（财社〔</w:t>
      </w:r>
      <w:r w:rsidRPr="00DE49AE">
        <w:rPr>
          <w:rFonts w:hint="eastAsia"/>
        </w:rPr>
        <w:t>2024</w:t>
      </w:r>
      <w:r w:rsidRPr="00DE49AE">
        <w:rPr>
          <w:rFonts w:hint="eastAsia"/>
        </w:rPr>
        <w:t>〕</w:t>
      </w:r>
      <w:r w:rsidRPr="00DE49AE">
        <w:rPr>
          <w:rFonts w:hint="eastAsia"/>
        </w:rPr>
        <w:t>64</w:t>
      </w:r>
      <w:r w:rsidRPr="00DE49AE">
        <w:rPr>
          <w:rFonts w:hint="eastAsia"/>
        </w:rPr>
        <w:t>号），现下达你区县</w:t>
      </w:r>
      <w:r w:rsidRPr="00DE49AE">
        <w:rPr>
          <w:rFonts w:hint="eastAsia"/>
        </w:rPr>
        <w:t>2024</w:t>
      </w:r>
      <w:r w:rsidRPr="00DE49AE">
        <w:rPr>
          <w:rFonts w:hint="eastAsia"/>
        </w:rPr>
        <w:t>年中央专项彩票公益金支持实施居家和社区基本养老服务提升行动项目资金（具体金额见附件）。现将有关事宜通知如下。</w:t>
      </w:r>
    </w:p>
    <w:p w:rsidR="00354A68" w:rsidRPr="00DE49AE" w:rsidRDefault="00354A68" w:rsidP="00354A68">
      <w:pPr>
        <w:spacing w:line="550" w:lineRule="exact"/>
        <w:ind w:firstLineChars="200" w:firstLine="640"/>
        <w:rPr>
          <w:rFonts w:hint="eastAsia"/>
        </w:rPr>
      </w:pPr>
      <w:r w:rsidRPr="00DE49AE">
        <w:rPr>
          <w:rFonts w:hint="eastAsia"/>
        </w:rPr>
        <w:t>一、此次下达的中央财政补助资金，按规定用于以下三个方面：一是支持项目区县为符合条件的经济困难失能和部分失能老年人建设家庭养老床位，对其经常活动的居家场所进行适老化改造；二是支持项目区县开展居家养老上门服务，以提供相关服务的专项机构为依托，为符合条件的经济困难失能和部分失能老年人提供助洁、助行、助浴、助医、康复、巡访关爱等上门服务；三是支持各区县发展老年助餐服务，具体用于支持各地街道（乡镇）层面具有一定服务规模、运营相对稳定成熟的老年助餐点购置或更新相关设施设备，并适当向农村地区倾斜，引导建立可持续、可推广复制的运营机制与模式。</w:t>
      </w:r>
    </w:p>
    <w:p w:rsidR="00354A68" w:rsidRPr="00DE49AE" w:rsidRDefault="00354A68" w:rsidP="00354A68">
      <w:pPr>
        <w:spacing w:line="550" w:lineRule="exact"/>
        <w:ind w:firstLineChars="200" w:firstLine="640"/>
        <w:rPr>
          <w:rFonts w:hint="eastAsia"/>
        </w:rPr>
      </w:pPr>
      <w:r w:rsidRPr="00DE49AE">
        <w:rPr>
          <w:rFonts w:hint="eastAsia"/>
        </w:rPr>
        <w:t>二、请将上述资金收入列</w:t>
      </w:r>
      <w:r w:rsidRPr="00DE49AE">
        <w:rPr>
          <w:rFonts w:hint="eastAsia"/>
        </w:rPr>
        <w:t>2024</w:t>
      </w:r>
      <w:r w:rsidRPr="00DE49AE">
        <w:rPr>
          <w:rFonts w:hint="eastAsia"/>
        </w:rPr>
        <w:t>年政府收支分类科目中政府</w:t>
      </w:r>
      <w:r w:rsidRPr="00DE49AE">
        <w:rPr>
          <w:rFonts w:hint="eastAsia"/>
        </w:rPr>
        <w:lastRenderedPageBreak/>
        <w:t>性基金预算收入“</w:t>
      </w:r>
      <w:r w:rsidRPr="00DE49AE">
        <w:rPr>
          <w:rFonts w:hint="eastAsia"/>
        </w:rPr>
        <w:t>1100499</w:t>
      </w:r>
      <w:r w:rsidRPr="00DE49AE">
        <w:rPr>
          <w:rFonts w:hint="eastAsia"/>
        </w:rPr>
        <w:t>其他收入”，支出列“</w:t>
      </w:r>
      <w:r w:rsidRPr="00DE49AE">
        <w:rPr>
          <w:rFonts w:hint="eastAsia"/>
        </w:rPr>
        <w:t>2296002</w:t>
      </w:r>
      <w:r w:rsidRPr="00DE49AE">
        <w:rPr>
          <w:rFonts w:hint="eastAsia"/>
        </w:rPr>
        <w:t>用于社会福利的彩票公益金支出”。</w:t>
      </w:r>
    </w:p>
    <w:p w:rsidR="00354A68" w:rsidRPr="00DE49AE" w:rsidRDefault="00354A68" w:rsidP="00354A68">
      <w:pPr>
        <w:spacing w:line="550" w:lineRule="exact"/>
        <w:ind w:firstLineChars="200" w:firstLine="640"/>
        <w:rPr>
          <w:rFonts w:hint="eastAsia"/>
        </w:rPr>
      </w:pPr>
      <w:r w:rsidRPr="00DE49AE">
        <w:rPr>
          <w:rFonts w:hint="eastAsia"/>
        </w:rPr>
        <w:t>三、各区县财政局要会同当地民政局，密切合作，加强资金使用管理，努力提高资金使用效益。进一步加强预算绩效管理，对照区域绩效目标表（附件</w:t>
      </w:r>
      <w:r w:rsidRPr="00DE49AE">
        <w:rPr>
          <w:rFonts w:hint="eastAsia"/>
        </w:rPr>
        <w:t>2</w:t>
      </w:r>
      <w:r w:rsidRPr="00DE49AE">
        <w:rPr>
          <w:rFonts w:hint="eastAsia"/>
        </w:rPr>
        <w:t>）完善你区绩效目标，确保年度绩效目标如期实现。</w:t>
      </w:r>
    </w:p>
    <w:p w:rsidR="00354A68" w:rsidRPr="00DE49AE" w:rsidRDefault="00354A68" w:rsidP="00354A68">
      <w:pPr>
        <w:spacing w:line="550" w:lineRule="exact"/>
        <w:ind w:firstLineChars="200" w:firstLine="640"/>
        <w:rPr>
          <w:rFonts w:hint="eastAsia"/>
        </w:rPr>
      </w:pPr>
    </w:p>
    <w:p w:rsidR="00354A68" w:rsidRPr="00DE49AE" w:rsidRDefault="00354A68" w:rsidP="00354A68">
      <w:pPr>
        <w:spacing w:line="550" w:lineRule="exact"/>
        <w:ind w:firstLineChars="200" w:firstLine="640"/>
      </w:pPr>
      <w:r w:rsidRPr="00DE49AE">
        <w:rPr>
          <w:rFonts w:hint="eastAsia"/>
        </w:rPr>
        <w:t>附件：</w:t>
      </w:r>
      <w:r w:rsidRPr="00DE49AE">
        <w:rPr>
          <w:rFonts w:hint="eastAsia"/>
        </w:rPr>
        <w:t>1.2024</w:t>
      </w:r>
      <w:r w:rsidRPr="00DE49AE">
        <w:rPr>
          <w:rFonts w:hint="eastAsia"/>
        </w:rPr>
        <w:t>年中央专项彩票公益金支持居家和社区基本养</w:t>
      </w:r>
    </w:p>
    <w:p w:rsidR="00354A68" w:rsidRPr="00DE49AE" w:rsidRDefault="00354A68" w:rsidP="00354A68">
      <w:pPr>
        <w:spacing w:line="550" w:lineRule="exact"/>
        <w:ind w:firstLineChars="538" w:firstLine="1722"/>
        <w:rPr>
          <w:rFonts w:hint="eastAsia"/>
        </w:rPr>
      </w:pPr>
      <w:r w:rsidRPr="00DE49AE">
        <w:rPr>
          <w:rFonts w:hint="eastAsia"/>
        </w:rPr>
        <w:t>老服务提升行动项目资金分配表</w:t>
      </w:r>
    </w:p>
    <w:p w:rsidR="00354A68" w:rsidRPr="00DE49AE" w:rsidRDefault="00354A68" w:rsidP="00354A68">
      <w:pPr>
        <w:spacing w:line="550" w:lineRule="exact"/>
        <w:ind w:firstLineChars="468" w:firstLine="1498"/>
        <w:rPr>
          <w:rFonts w:hint="eastAsia"/>
        </w:rPr>
      </w:pPr>
      <w:r w:rsidRPr="00DE49AE">
        <w:rPr>
          <w:rFonts w:hint="eastAsia"/>
        </w:rPr>
        <w:t>2.</w:t>
      </w:r>
      <w:r w:rsidRPr="00DE49AE">
        <w:rPr>
          <w:rFonts w:hint="eastAsia"/>
        </w:rPr>
        <w:t>中央对地方转移支付区域绩效目标表</w:t>
      </w:r>
    </w:p>
    <w:p w:rsidR="00354A68" w:rsidRPr="00DE49AE" w:rsidRDefault="00354A68" w:rsidP="00354A68">
      <w:pPr>
        <w:spacing w:line="550" w:lineRule="exact"/>
      </w:pPr>
    </w:p>
    <w:p w:rsidR="00354A68" w:rsidRPr="00DE49AE" w:rsidRDefault="00354A68" w:rsidP="00354A68">
      <w:pPr>
        <w:spacing w:line="550" w:lineRule="exact"/>
        <w:ind w:firstLineChars="1736" w:firstLine="5555"/>
      </w:pPr>
      <w:r w:rsidRPr="00DE49AE">
        <w:rPr>
          <w:rFonts w:hint="eastAsia"/>
        </w:rPr>
        <w:t>重庆市财政局</w:t>
      </w:r>
    </w:p>
    <w:p w:rsidR="00354A68" w:rsidRPr="00DE49AE" w:rsidRDefault="00354A68" w:rsidP="00354A68">
      <w:pPr>
        <w:spacing w:line="550" w:lineRule="exact"/>
        <w:ind w:firstLineChars="1666" w:firstLine="5331"/>
      </w:pPr>
      <w:r w:rsidRPr="00DE49AE">
        <w:rPr>
          <w:rFonts w:hint="eastAsia"/>
        </w:rPr>
        <w:t>20</w:t>
      </w:r>
      <w:r w:rsidRPr="00DE49AE">
        <w:t>24</w:t>
      </w:r>
      <w:r w:rsidRPr="00DE49AE">
        <w:rPr>
          <w:rFonts w:hint="eastAsia"/>
        </w:rPr>
        <w:t>年</w:t>
      </w:r>
      <w:r w:rsidRPr="00DE49AE">
        <w:t>7</w:t>
      </w:r>
      <w:r w:rsidRPr="00DE49AE">
        <w:rPr>
          <w:rFonts w:hint="eastAsia"/>
        </w:rPr>
        <w:t>月</w:t>
      </w:r>
      <w:r w:rsidRPr="00DE49AE">
        <w:t>17</w:t>
      </w:r>
      <w:r w:rsidRPr="00DE49AE">
        <w:rPr>
          <w:rFonts w:hint="eastAsia"/>
        </w:rPr>
        <w:t>日</w:t>
      </w:r>
    </w:p>
    <w:p w:rsidR="00354A68" w:rsidRPr="00DE49AE" w:rsidRDefault="00354A68" w:rsidP="00354A68">
      <w:pPr>
        <w:spacing w:line="550" w:lineRule="exact"/>
        <w:ind w:firstLineChars="200" w:firstLine="640"/>
      </w:pPr>
      <w:r w:rsidRPr="00DE49AE">
        <w:rPr>
          <w:rFonts w:hint="eastAsia"/>
        </w:rPr>
        <w:t>（此件依申请公开</w:t>
      </w:r>
      <w:r w:rsidRPr="00DE49AE">
        <w:t>）</w:t>
      </w:r>
    </w:p>
    <w:p w:rsidR="00354A68" w:rsidRPr="00CC6986" w:rsidRDefault="00354A68" w:rsidP="00643807">
      <w:pPr>
        <w:pStyle w:val="a4"/>
        <w:ind w:firstLine="320"/>
        <w:rPr>
          <w:rFonts w:hint="eastAsia"/>
        </w:rPr>
      </w:pPr>
    </w:p>
    <w:sectPr w:rsidR="00354A68" w:rsidRPr="00CC6986"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D2" w:rsidRDefault="00A92DD2">
      <w:pPr>
        <w:spacing w:line="240" w:lineRule="auto"/>
      </w:pPr>
      <w:r>
        <w:separator/>
      </w:r>
    </w:p>
  </w:endnote>
  <w:endnote w:type="continuationSeparator" w:id="0">
    <w:p w:rsidR="00A92DD2" w:rsidRDefault="00A92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DB27FC9-78A9-4F23-AADE-D29F01D6C9C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4002EFF" w:usb1="C000247B" w:usb2="00000009" w:usb3="00000000" w:csb0="000001FF" w:csb1="00000000"/>
  </w:font>
  <w:font w:name="方正小标宋_GBK">
    <w:charset w:val="86"/>
    <w:family w:val="auto"/>
    <w:pitch w:val="variable"/>
    <w:sig w:usb0="A00002BF" w:usb1="38CF7CFA" w:usb2="00080016" w:usb3="00000000" w:csb0="00040001" w:csb1="00000000"/>
    <w:embedRegular r:id="rId2" w:subsetted="1" w:fontKey="{A4D37E0B-DDA1-47A1-9544-1D486761684D}"/>
  </w:font>
  <w:font w:name="楷体">
    <w:charset w:val="86"/>
    <w:family w:val="modern"/>
    <w:pitch w:val="fixed"/>
    <w:sig w:usb0="800002BF" w:usb1="38CF7CFA" w:usb2="00000016" w:usb3="00000000" w:csb0="00040001" w:csb1="00000000"/>
    <w:embedRegular r:id="rId3" w:subsetted="1" w:fontKey="{905FBB10-7F8F-4593-815B-336F05EEAA4E}"/>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4A6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4A6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D2" w:rsidRDefault="00A92DD2">
      <w:pPr>
        <w:spacing w:line="240" w:lineRule="auto"/>
      </w:pPr>
      <w:r>
        <w:separator/>
      </w:r>
    </w:p>
  </w:footnote>
  <w:footnote w:type="continuationSeparator" w:id="0">
    <w:p w:rsidR="00A92DD2" w:rsidRDefault="00A92D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924CF"/>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610F2D"/>
    <w:rsid w:val="00643807"/>
    <w:rsid w:val="006509F5"/>
    <w:rsid w:val="006512E1"/>
    <w:rsid w:val="006878C8"/>
    <w:rsid w:val="006C4FC3"/>
    <w:rsid w:val="006D3F8F"/>
    <w:rsid w:val="007057D0"/>
    <w:rsid w:val="00710C4C"/>
    <w:rsid w:val="00716960"/>
    <w:rsid w:val="00757A08"/>
    <w:rsid w:val="00796AED"/>
    <w:rsid w:val="007D7601"/>
    <w:rsid w:val="007E0D2E"/>
    <w:rsid w:val="007E186E"/>
    <w:rsid w:val="007F6458"/>
    <w:rsid w:val="008240CA"/>
    <w:rsid w:val="008305EC"/>
    <w:rsid w:val="00844EE4"/>
    <w:rsid w:val="00850C21"/>
    <w:rsid w:val="0087698F"/>
    <w:rsid w:val="00894C52"/>
    <w:rsid w:val="00894FC8"/>
    <w:rsid w:val="008A488B"/>
    <w:rsid w:val="008B3173"/>
    <w:rsid w:val="008B5717"/>
    <w:rsid w:val="008C58E3"/>
    <w:rsid w:val="008F119F"/>
    <w:rsid w:val="009457AD"/>
    <w:rsid w:val="00953900"/>
    <w:rsid w:val="009650E8"/>
    <w:rsid w:val="009B2B40"/>
    <w:rsid w:val="009B6DE3"/>
    <w:rsid w:val="009D7357"/>
    <w:rsid w:val="00A0470C"/>
    <w:rsid w:val="00A33013"/>
    <w:rsid w:val="00A34887"/>
    <w:rsid w:val="00A43229"/>
    <w:rsid w:val="00A446D2"/>
    <w:rsid w:val="00A860D2"/>
    <w:rsid w:val="00A92DD2"/>
    <w:rsid w:val="00AA0CAE"/>
    <w:rsid w:val="00B4705A"/>
    <w:rsid w:val="00B67B15"/>
    <w:rsid w:val="00BB2E5D"/>
    <w:rsid w:val="00BD0828"/>
    <w:rsid w:val="00BD2826"/>
    <w:rsid w:val="00BE3FE8"/>
    <w:rsid w:val="00BF4124"/>
    <w:rsid w:val="00C6064E"/>
    <w:rsid w:val="00C71514"/>
    <w:rsid w:val="00C84BE2"/>
    <w:rsid w:val="00CB2CCF"/>
    <w:rsid w:val="00CC4066"/>
    <w:rsid w:val="00CC6986"/>
    <w:rsid w:val="00D075B5"/>
    <w:rsid w:val="00D172B6"/>
    <w:rsid w:val="00DA5409"/>
    <w:rsid w:val="00DB2465"/>
    <w:rsid w:val="00DC5A29"/>
    <w:rsid w:val="00DC753A"/>
    <w:rsid w:val="00DE3B57"/>
    <w:rsid w:val="00DE5B1C"/>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81233"/>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2024-07-19T10:23:00Z</dcterms:created>
  <dcterms:modified xsi:type="dcterms:W3CDTF">2024-07-19T10:23:00Z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