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77" w:rsidRDefault="00B55877" w:rsidP="00D850E9">
      <w:pPr>
        <w:pStyle w:val="a4"/>
        <w:ind w:firstLine="440"/>
        <w:rPr>
          <w:rFonts w:eastAsia="方正小标宋_GBK"/>
          <w:sz w:val="44"/>
          <w:szCs w:val="44"/>
        </w:rPr>
      </w:pPr>
    </w:p>
    <w:p w:rsidR="000D33C9" w:rsidRPr="005D581E" w:rsidRDefault="000D33C9" w:rsidP="000D33C9">
      <w:pPr>
        <w:spacing w:line="578" w:lineRule="exact"/>
        <w:jc w:val="center"/>
        <w:rPr>
          <w:rFonts w:eastAsia="方正小标宋_GBK" w:hint="eastAsia"/>
          <w:sz w:val="44"/>
          <w:szCs w:val="44"/>
        </w:rPr>
      </w:pPr>
      <w:r w:rsidRPr="005D581E">
        <w:rPr>
          <w:rFonts w:eastAsia="方正小标宋_GBK" w:hint="eastAsia"/>
          <w:sz w:val="44"/>
          <w:szCs w:val="44"/>
        </w:rPr>
        <w:t>重庆市财政局关于提前下达</w:t>
      </w:r>
      <w:r w:rsidRPr="005D581E">
        <w:rPr>
          <w:rFonts w:eastAsia="方正小标宋_GBK" w:hint="eastAsia"/>
          <w:sz w:val="44"/>
          <w:szCs w:val="44"/>
        </w:rPr>
        <w:t>2024</w:t>
      </w:r>
      <w:r w:rsidRPr="005D581E">
        <w:rPr>
          <w:rFonts w:eastAsia="方正小标宋_GBK" w:hint="eastAsia"/>
          <w:sz w:val="44"/>
          <w:szCs w:val="44"/>
        </w:rPr>
        <w:t>年度</w:t>
      </w:r>
    </w:p>
    <w:p w:rsidR="000D33C9" w:rsidRDefault="000D33C9" w:rsidP="000D33C9">
      <w:pPr>
        <w:spacing w:line="578" w:lineRule="exact"/>
        <w:jc w:val="center"/>
        <w:rPr>
          <w:rFonts w:eastAsia="方正小标宋_GBK"/>
          <w:sz w:val="44"/>
          <w:szCs w:val="44"/>
        </w:rPr>
      </w:pPr>
      <w:r w:rsidRPr="005D581E">
        <w:rPr>
          <w:rFonts w:eastAsia="方正小标宋_GBK" w:hint="eastAsia"/>
          <w:sz w:val="44"/>
          <w:szCs w:val="44"/>
        </w:rPr>
        <w:t>市级生态环境“以奖促治”资金预算的通知</w:t>
      </w:r>
    </w:p>
    <w:p w:rsidR="000D33C9" w:rsidRPr="000D33C9" w:rsidRDefault="000D33C9" w:rsidP="000D33C9">
      <w:pPr>
        <w:pStyle w:val="a0"/>
        <w:jc w:val="center"/>
        <w:rPr>
          <w:rFonts w:ascii="楷体" w:eastAsia="楷体" w:hAnsi="楷体" w:hint="eastAsia"/>
        </w:rPr>
      </w:pPr>
      <w:bookmarkStart w:id="0" w:name="_GoBack"/>
      <w:r w:rsidRPr="000D33C9">
        <w:rPr>
          <w:rFonts w:ascii="楷体" w:eastAsia="楷体" w:hAnsi="楷体" w:hint="eastAsia"/>
        </w:rPr>
        <w:t>渝财环〔2023〕91号</w:t>
      </w:r>
    </w:p>
    <w:bookmarkEnd w:id="0"/>
    <w:p w:rsidR="000D33C9" w:rsidRPr="005D581E" w:rsidRDefault="000D33C9" w:rsidP="000D33C9">
      <w:pPr>
        <w:spacing w:line="578" w:lineRule="exact"/>
        <w:ind w:firstLineChars="200" w:firstLine="640"/>
      </w:pPr>
    </w:p>
    <w:p w:rsidR="000D33C9" w:rsidRPr="005D581E" w:rsidRDefault="000D33C9" w:rsidP="000D33C9">
      <w:pPr>
        <w:spacing w:line="578" w:lineRule="exact"/>
      </w:pPr>
      <w:r w:rsidRPr="005D581E">
        <w:rPr>
          <w:rFonts w:hint="eastAsia"/>
        </w:rPr>
        <w:t>相关区县（自治县）财政局：</w:t>
      </w:r>
    </w:p>
    <w:p w:rsidR="000D33C9" w:rsidRPr="005D581E" w:rsidRDefault="000D33C9" w:rsidP="000D33C9">
      <w:pPr>
        <w:spacing w:line="578" w:lineRule="exact"/>
        <w:ind w:firstLineChars="200" w:firstLine="640"/>
      </w:pPr>
      <w:r w:rsidRPr="005D581E">
        <w:rPr>
          <w:rFonts w:hint="eastAsia"/>
        </w:rPr>
        <w:t>为提高区县预算编制完整性，加快转移支付资金使用进度，推动全市生态环境质量持续改善，根据</w:t>
      </w:r>
      <w:r w:rsidRPr="005D581E">
        <w:rPr>
          <w:rFonts w:hint="eastAsia"/>
        </w:rPr>
        <w:t>202</w:t>
      </w:r>
      <w:r w:rsidRPr="005D581E">
        <w:t>4</w:t>
      </w:r>
      <w:r w:rsidRPr="005D581E">
        <w:rPr>
          <w:rFonts w:hint="eastAsia"/>
        </w:rPr>
        <w:t>年度市级预算安排和《重庆市生态环境“以奖促治”资金管理办法》（渝财环〔</w:t>
      </w:r>
      <w:r w:rsidRPr="005D581E">
        <w:rPr>
          <w:rFonts w:hint="eastAsia"/>
        </w:rPr>
        <w:t>2022</w:t>
      </w:r>
      <w:r w:rsidRPr="005D581E">
        <w:rPr>
          <w:rFonts w:hint="eastAsia"/>
        </w:rPr>
        <w:t>〕</w:t>
      </w:r>
      <w:r w:rsidRPr="005D581E">
        <w:rPr>
          <w:rFonts w:hint="eastAsia"/>
        </w:rPr>
        <w:t>7</w:t>
      </w:r>
      <w:r w:rsidRPr="005D581E">
        <w:rPr>
          <w:rFonts w:hint="eastAsia"/>
        </w:rPr>
        <w:t>号），结合《</w:t>
      </w:r>
      <w:bookmarkStart w:id="1" w:name="tbx_bt"/>
      <w:r w:rsidRPr="005D581E">
        <w:rPr>
          <w:rFonts w:hint="eastAsia"/>
        </w:rPr>
        <w:t>重庆市生态环境局关于商请提前下达</w:t>
      </w:r>
      <w:r w:rsidRPr="005D581E">
        <w:rPr>
          <w:rFonts w:hint="eastAsia"/>
        </w:rPr>
        <w:t>2024</w:t>
      </w:r>
      <w:r w:rsidRPr="005D581E">
        <w:rPr>
          <w:rFonts w:hint="eastAsia"/>
        </w:rPr>
        <w:t>年市级“以奖促治”资金预算的函</w:t>
      </w:r>
      <w:bookmarkEnd w:id="1"/>
      <w:r w:rsidRPr="005D581E">
        <w:rPr>
          <w:rFonts w:hint="eastAsia"/>
        </w:rPr>
        <w:t>》（</w:t>
      </w:r>
      <w:bookmarkStart w:id="2" w:name="gwz"/>
      <w:r w:rsidRPr="005D581E">
        <w:rPr>
          <w:rFonts w:hint="eastAsia"/>
        </w:rPr>
        <w:t>渝环函</w:t>
      </w:r>
      <w:bookmarkEnd w:id="2"/>
      <w:r w:rsidRPr="005D581E">
        <w:rPr>
          <w:rFonts w:hint="eastAsia"/>
        </w:rPr>
        <w:t>〔</w:t>
      </w:r>
      <w:bookmarkStart w:id="3" w:name="gwnh"/>
      <w:r w:rsidRPr="005D581E">
        <w:rPr>
          <w:rFonts w:hint="eastAsia"/>
        </w:rPr>
        <w:t>2023</w:t>
      </w:r>
      <w:bookmarkEnd w:id="3"/>
      <w:r w:rsidRPr="005D581E">
        <w:rPr>
          <w:rFonts w:hint="eastAsia"/>
        </w:rPr>
        <w:t>〕</w:t>
      </w:r>
      <w:bookmarkStart w:id="4" w:name="gwqh"/>
      <w:r w:rsidRPr="005D581E">
        <w:rPr>
          <w:rFonts w:hint="eastAsia"/>
        </w:rPr>
        <w:t>628</w:t>
      </w:r>
      <w:bookmarkEnd w:id="4"/>
      <w:r w:rsidRPr="005D581E">
        <w:rPr>
          <w:rFonts w:hint="eastAsia"/>
        </w:rPr>
        <w:t>号），现将</w:t>
      </w:r>
      <w:r w:rsidRPr="005D581E">
        <w:rPr>
          <w:rFonts w:hint="eastAsia"/>
        </w:rPr>
        <w:t>202</w:t>
      </w:r>
      <w:r w:rsidRPr="005D581E">
        <w:t>4</w:t>
      </w:r>
      <w:r w:rsidRPr="005D581E">
        <w:rPr>
          <w:rFonts w:hint="eastAsia"/>
        </w:rPr>
        <w:t>年度市级生态环境“以奖促治”资金提前下达你们（具体金额及构成详见附件</w:t>
      </w:r>
      <w:r w:rsidRPr="005D581E">
        <w:rPr>
          <w:rFonts w:hint="eastAsia"/>
        </w:rPr>
        <w:t>1</w:t>
      </w:r>
      <w:r w:rsidRPr="005D581E">
        <w:rPr>
          <w:rFonts w:hint="eastAsia"/>
        </w:rPr>
        <w:t>），请会同生态环境部门提前做好预算分解下达及前期工作安排，待</w:t>
      </w:r>
      <w:r w:rsidRPr="005D581E">
        <w:rPr>
          <w:rFonts w:hint="eastAsia"/>
        </w:rPr>
        <w:t>202</w:t>
      </w:r>
      <w:r w:rsidRPr="005D581E">
        <w:t>4</w:t>
      </w:r>
      <w:r w:rsidRPr="005D581E">
        <w:rPr>
          <w:rFonts w:hint="eastAsia"/>
        </w:rPr>
        <w:t>年预算年度开始后，按相关规定和要求拨付使用，根据实际用途分别列报“</w:t>
      </w:r>
      <w:r w:rsidRPr="005D581E">
        <w:rPr>
          <w:rFonts w:hint="eastAsia"/>
        </w:rPr>
        <w:t>211</w:t>
      </w:r>
      <w:r w:rsidRPr="005D581E">
        <w:rPr>
          <w:rFonts w:hint="eastAsia"/>
        </w:rPr>
        <w:t>节能环保”下的“</w:t>
      </w:r>
      <w:r w:rsidRPr="005D581E">
        <w:rPr>
          <w:rFonts w:hint="eastAsia"/>
        </w:rPr>
        <w:t>2110301</w:t>
      </w:r>
      <w:r w:rsidRPr="005D581E">
        <w:rPr>
          <w:rFonts w:hint="eastAsia"/>
        </w:rPr>
        <w:t>大气”、“</w:t>
      </w:r>
      <w:r w:rsidRPr="005D581E">
        <w:rPr>
          <w:rFonts w:hint="eastAsia"/>
        </w:rPr>
        <w:t>2110302</w:t>
      </w:r>
      <w:r w:rsidRPr="005D581E">
        <w:rPr>
          <w:rFonts w:hint="eastAsia"/>
        </w:rPr>
        <w:t>水体”等政府收支分类科目。</w:t>
      </w:r>
    </w:p>
    <w:p w:rsidR="000D33C9" w:rsidRPr="005D581E" w:rsidRDefault="000D33C9" w:rsidP="000D33C9">
      <w:pPr>
        <w:spacing w:line="578" w:lineRule="exact"/>
        <w:ind w:firstLineChars="200" w:firstLine="640"/>
      </w:pPr>
      <w:r w:rsidRPr="005D581E">
        <w:rPr>
          <w:rFonts w:hint="eastAsia"/>
        </w:rPr>
        <w:t>该资金系根据《重庆市生态环境“以奖促治”资金管理办法》（渝财环〔</w:t>
      </w:r>
      <w:r w:rsidRPr="005D581E">
        <w:rPr>
          <w:rFonts w:hint="eastAsia"/>
        </w:rPr>
        <w:t>2022</w:t>
      </w:r>
      <w:r w:rsidRPr="005D581E">
        <w:rPr>
          <w:rFonts w:hint="eastAsia"/>
        </w:rPr>
        <w:t>〕</w:t>
      </w:r>
      <w:r w:rsidRPr="005D581E">
        <w:rPr>
          <w:rFonts w:hint="eastAsia"/>
        </w:rPr>
        <w:t>7</w:t>
      </w:r>
      <w:r w:rsidRPr="005D581E">
        <w:rPr>
          <w:rFonts w:hint="eastAsia"/>
        </w:rPr>
        <w:t>号）相关规定，由市级从</w:t>
      </w:r>
      <w:r w:rsidRPr="005D581E">
        <w:rPr>
          <w:rFonts w:hint="eastAsia"/>
        </w:rPr>
        <w:t>2024</w:t>
      </w:r>
      <w:r w:rsidRPr="005D581E">
        <w:rPr>
          <w:rFonts w:hint="eastAsia"/>
        </w:rPr>
        <w:t>年度“以奖促治”预算中切块支持重庆市农村黑臭水体清零区县创建工作和锰污染整治工作的资金，请按附件明确的用途及金额，做好分类管理使用，不得混用或挪作它用。为切实提高资金效益，请你们完</w:t>
      </w:r>
      <w:r w:rsidRPr="005D581E">
        <w:rPr>
          <w:rFonts w:hint="eastAsia"/>
        </w:rPr>
        <w:lastRenderedPageBreak/>
        <w:t>善绩效目标管理，科学编制《市级生态环境“以奖促治”专项资金绩效目标申报表（</w:t>
      </w:r>
      <w:r w:rsidRPr="005D581E">
        <w:rPr>
          <w:rFonts w:hint="eastAsia"/>
        </w:rPr>
        <w:t>2024</w:t>
      </w:r>
      <w:r w:rsidRPr="005D581E">
        <w:rPr>
          <w:rFonts w:hint="eastAsia"/>
        </w:rPr>
        <w:t>年提前批）》（附件</w:t>
      </w:r>
      <w:r w:rsidRPr="005D581E">
        <w:rPr>
          <w:rFonts w:hint="eastAsia"/>
        </w:rPr>
        <w:t>3</w:t>
      </w:r>
      <w:r w:rsidRPr="005D581E">
        <w:rPr>
          <w:rFonts w:hint="eastAsia"/>
        </w:rPr>
        <w:t>），于收文</w:t>
      </w:r>
      <w:r w:rsidRPr="005D581E">
        <w:rPr>
          <w:rFonts w:hint="eastAsia"/>
        </w:rPr>
        <w:t>30</w:t>
      </w:r>
      <w:r w:rsidRPr="005D581E">
        <w:rPr>
          <w:rFonts w:hint="eastAsia"/>
        </w:rPr>
        <w:t>日内报市生态环境局和市财政局备案，并请于后续加强资金使用与项目实施的监督管理，做好绩效监控和绩效评价，确保资金安全、规范和高效运行。</w:t>
      </w:r>
      <w:r w:rsidRPr="005D581E">
        <w:rPr>
          <w:rFonts w:hint="eastAsia"/>
        </w:rPr>
        <w:t>2024</w:t>
      </w:r>
      <w:r w:rsidRPr="005D581E">
        <w:rPr>
          <w:rFonts w:hint="eastAsia"/>
        </w:rPr>
        <w:t>年终后，需综合全年各批次“以奖促治”资金使用情况，向市生态环境局和市财政局报送年度</w:t>
      </w:r>
      <w:r w:rsidRPr="005D581E">
        <w:t>资金</w:t>
      </w:r>
      <w:r w:rsidRPr="005D581E">
        <w:rPr>
          <w:rFonts w:hint="eastAsia"/>
        </w:rPr>
        <w:t>绩效评价报告。</w:t>
      </w:r>
    </w:p>
    <w:p w:rsidR="000D33C9" w:rsidRPr="005D581E" w:rsidRDefault="000D33C9" w:rsidP="000D33C9">
      <w:pPr>
        <w:spacing w:line="578" w:lineRule="exact"/>
        <w:ind w:firstLineChars="200" w:firstLine="640"/>
      </w:pPr>
    </w:p>
    <w:p w:rsidR="000D33C9" w:rsidRPr="005D581E" w:rsidRDefault="000D33C9" w:rsidP="000D33C9">
      <w:pPr>
        <w:spacing w:line="578" w:lineRule="exact"/>
        <w:ind w:firstLineChars="200" w:firstLine="640"/>
      </w:pPr>
      <w:r w:rsidRPr="005D581E">
        <w:rPr>
          <w:rFonts w:hint="eastAsia"/>
        </w:rPr>
        <w:t>附件：</w:t>
      </w:r>
      <w:r w:rsidRPr="005D581E">
        <w:rPr>
          <w:rFonts w:hint="eastAsia"/>
        </w:rPr>
        <w:t>1.</w:t>
      </w:r>
      <w:r w:rsidRPr="005D581E">
        <w:rPr>
          <w:rFonts w:hint="eastAsia"/>
        </w:rPr>
        <w:t>提前下达</w:t>
      </w:r>
      <w:r w:rsidRPr="005D581E">
        <w:rPr>
          <w:rFonts w:hint="eastAsia"/>
        </w:rPr>
        <w:t>2024</w:t>
      </w:r>
      <w:r w:rsidRPr="005D581E">
        <w:rPr>
          <w:rFonts w:hint="eastAsia"/>
        </w:rPr>
        <w:t>年度市级生态环境“以奖促治”资</w:t>
      </w:r>
    </w:p>
    <w:p w:rsidR="000D33C9" w:rsidRPr="005D581E" w:rsidRDefault="000D33C9" w:rsidP="000D33C9">
      <w:pPr>
        <w:spacing w:line="578" w:lineRule="exact"/>
        <w:ind w:firstLineChars="577" w:firstLine="1846"/>
      </w:pPr>
      <w:r w:rsidRPr="005D581E">
        <w:rPr>
          <w:rFonts w:hint="eastAsia"/>
        </w:rPr>
        <w:t>金预算表</w:t>
      </w:r>
    </w:p>
    <w:p w:rsidR="000D33C9" w:rsidRPr="005D581E" w:rsidRDefault="000D33C9" w:rsidP="000D33C9">
      <w:pPr>
        <w:spacing w:line="578" w:lineRule="exact"/>
        <w:ind w:firstLineChars="500" w:firstLine="1600"/>
      </w:pPr>
      <w:r w:rsidRPr="005D581E">
        <w:rPr>
          <w:rFonts w:hint="eastAsia"/>
        </w:rPr>
        <w:t>2.</w:t>
      </w:r>
      <w:r w:rsidRPr="005D581E">
        <w:rPr>
          <w:rFonts w:hint="eastAsia"/>
        </w:rPr>
        <w:t>市级生态环境“以奖促治”资金整体绩效目标表</w:t>
      </w:r>
    </w:p>
    <w:p w:rsidR="000D33C9" w:rsidRPr="005D581E" w:rsidRDefault="000D33C9" w:rsidP="000D33C9">
      <w:pPr>
        <w:spacing w:line="578" w:lineRule="exact"/>
        <w:ind w:firstLineChars="500" w:firstLine="1600"/>
      </w:pPr>
      <w:r w:rsidRPr="005D581E">
        <w:rPr>
          <w:rFonts w:hint="eastAsia"/>
        </w:rPr>
        <w:t>3.</w:t>
      </w:r>
      <w:r w:rsidRPr="005D581E">
        <w:rPr>
          <w:rFonts w:hint="eastAsia"/>
        </w:rPr>
        <w:t>市级生态环境“以奖促治”资金绩效目标申报表</w:t>
      </w:r>
    </w:p>
    <w:p w:rsidR="000D33C9" w:rsidRPr="005D581E" w:rsidRDefault="000D33C9" w:rsidP="000D33C9">
      <w:pPr>
        <w:spacing w:line="578" w:lineRule="exact"/>
        <w:ind w:firstLineChars="577" w:firstLine="1846"/>
      </w:pPr>
      <w:r w:rsidRPr="005D581E">
        <w:rPr>
          <w:rFonts w:hint="eastAsia"/>
        </w:rPr>
        <w:t>（</w:t>
      </w:r>
      <w:r w:rsidRPr="005D581E">
        <w:rPr>
          <w:rFonts w:hint="eastAsia"/>
        </w:rPr>
        <w:t>2024</w:t>
      </w:r>
      <w:r w:rsidRPr="005D581E">
        <w:rPr>
          <w:rFonts w:hint="eastAsia"/>
        </w:rPr>
        <w:t>年提前批）</w:t>
      </w:r>
    </w:p>
    <w:p w:rsidR="000D33C9" w:rsidRPr="005D581E" w:rsidRDefault="000D33C9" w:rsidP="000D33C9">
      <w:pPr>
        <w:spacing w:line="578" w:lineRule="exact"/>
        <w:ind w:firstLineChars="200" w:firstLine="640"/>
      </w:pPr>
    </w:p>
    <w:p w:rsidR="000D33C9" w:rsidRPr="005D581E" w:rsidRDefault="000D33C9" w:rsidP="000D33C9">
      <w:pPr>
        <w:spacing w:line="578" w:lineRule="exact"/>
        <w:rPr>
          <w:rFonts w:hint="eastAsia"/>
        </w:rPr>
      </w:pPr>
    </w:p>
    <w:p w:rsidR="000D33C9" w:rsidRPr="005D581E" w:rsidRDefault="000D33C9" w:rsidP="000D33C9">
      <w:pPr>
        <w:spacing w:line="578" w:lineRule="exact"/>
      </w:pPr>
    </w:p>
    <w:p w:rsidR="000D33C9" w:rsidRPr="005D581E" w:rsidRDefault="000D33C9" w:rsidP="000D33C9">
      <w:pPr>
        <w:spacing w:line="578" w:lineRule="exact"/>
        <w:ind w:firstLineChars="1671" w:firstLine="5347"/>
      </w:pPr>
      <w:r w:rsidRPr="005D581E">
        <w:rPr>
          <w:rFonts w:hint="eastAsia"/>
        </w:rPr>
        <w:t>重庆市财政局</w:t>
      </w:r>
    </w:p>
    <w:p w:rsidR="000D33C9" w:rsidRPr="005D581E" w:rsidRDefault="000D33C9" w:rsidP="000D33C9">
      <w:pPr>
        <w:spacing w:line="578" w:lineRule="exact"/>
        <w:ind w:firstLineChars="1575" w:firstLine="5040"/>
      </w:pPr>
      <w:r w:rsidRPr="005D581E">
        <w:rPr>
          <w:rFonts w:hint="eastAsia"/>
        </w:rPr>
        <w:t>20</w:t>
      </w:r>
      <w:r w:rsidRPr="005D581E">
        <w:t>23</w:t>
      </w:r>
      <w:r w:rsidRPr="005D581E">
        <w:rPr>
          <w:rFonts w:hint="eastAsia"/>
        </w:rPr>
        <w:t>年</w:t>
      </w:r>
      <w:r w:rsidRPr="005D581E">
        <w:t>12</w:t>
      </w:r>
      <w:r w:rsidRPr="005D581E">
        <w:rPr>
          <w:rFonts w:hint="eastAsia"/>
        </w:rPr>
        <w:t>月</w:t>
      </w:r>
      <w:r w:rsidRPr="005D581E">
        <w:t>13</w:t>
      </w:r>
      <w:r w:rsidRPr="005D581E">
        <w:rPr>
          <w:rFonts w:hint="eastAsia"/>
        </w:rPr>
        <w:t>日</w:t>
      </w:r>
    </w:p>
    <w:p w:rsidR="000D33C9" w:rsidRPr="005D581E" w:rsidRDefault="000D33C9" w:rsidP="000D33C9">
      <w:pPr>
        <w:spacing w:line="578" w:lineRule="exact"/>
        <w:ind w:firstLineChars="200" w:firstLine="640"/>
      </w:pPr>
      <w:r w:rsidRPr="005D581E">
        <w:rPr>
          <w:rFonts w:hint="eastAsia"/>
        </w:rPr>
        <w:t>（此件主动</w:t>
      </w:r>
      <w:r w:rsidRPr="005D581E">
        <w:t>公开）</w:t>
      </w:r>
    </w:p>
    <w:p w:rsidR="000D33C9" w:rsidRPr="002E44B0" w:rsidRDefault="000D33C9" w:rsidP="00D850E9">
      <w:pPr>
        <w:pStyle w:val="a4"/>
        <w:ind w:firstLine="320"/>
        <w:rPr>
          <w:rFonts w:hint="eastAsia"/>
        </w:rPr>
      </w:pPr>
    </w:p>
    <w:sectPr w:rsidR="000D33C9" w:rsidRPr="002E44B0"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E9" w:rsidRDefault="00EB62E9">
      <w:pPr>
        <w:spacing w:line="240" w:lineRule="auto"/>
      </w:pPr>
      <w:r>
        <w:separator/>
      </w:r>
    </w:p>
  </w:endnote>
  <w:endnote w:type="continuationSeparator" w:id="0">
    <w:p w:rsidR="00EB62E9" w:rsidRDefault="00EB6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EB0EFE9D-A776-4113-84D9-861687D899E2}"/>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00002FF" w:usb1="4000ACFF" w:usb2="00000001" w:usb3="00000000" w:csb0="0000019F" w:csb1="00000000"/>
  </w:font>
  <w:font w:name="方正小标宋_GBK">
    <w:charset w:val="86"/>
    <w:family w:val="auto"/>
    <w:pitch w:val="variable"/>
    <w:sig w:usb0="A00002BF" w:usb1="38CF7CFA" w:usb2="00080016" w:usb3="00000000" w:csb0="00040001" w:csb1="00000000"/>
    <w:embedRegular r:id="rId2" w:subsetted="1" w:fontKey="{5516C51A-4BFC-4244-80D0-6A579202F687}"/>
  </w:font>
  <w:font w:name="楷体">
    <w:charset w:val="86"/>
    <w:family w:val="modern"/>
    <w:pitch w:val="fixed"/>
    <w:sig w:usb0="800002BF" w:usb1="38CF7CFA" w:usb2="00000016" w:usb3="00000000" w:csb0="00040001" w:csb1="00000000"/>
    <w:embedRegular r:id="rId3" w:subsetted="1" w:fontKey="{F692FC86-FFC1-4E06-B66E-7183D3ACC245}"/>
  </w:font>
  <w:font w:name="仿宋">
    <w:charset w:val="86"/>
    <w:family w:val="modern"/>
    <w:pitch w:val="fixed"/>
    <w:sig w:usb0="800002BF" w:usb1="38CF7CFA" w:usb2="00000016" w:usb3="00000000" w:csb0="00040001" w:csb1="00000000"/>
  </w:font>
  <w:font w:name="Cambria">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D33C9">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D33C9">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E9" w:rsidRDefault="00EB62E9">
      <w:pPr>
        <w:spacing w:line="240" w:lineRule="auto"/>
      </w:pPr>
      <w:r>
        <w:separator/>
      </w:r>
    </w:p>
  </w:footnote>
  <w:footnote w:type="continuationSeparator" w:id="0">
    <w:p w:rsidR="00EB62E9" w:rsidRDefault="00EB62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82E38"/>
    <w:rsid w:val="000D33C9"/>
    <w:rsid w:val="00172A27"/>
    <w:rsid w:val="001924CF"/>
    <w:rsid w:val="001A38B7"/>
    <w:rsid w:val="001B3E84"/>
    <w:rsid w:val="00204E52"/>
    <w:rsid w:val="002423F8"/>
    <w:rsid w:val="0026289F"/>
    <w:rsid w:val="002B17E3"/>
    <w:rsid w:val="002E1EE9"/>
    <w:rsid w:val="002E44B0"/>
    <w:rsid w:val="002E7DF5"/>
    <w:rsid w:val="00357AAF"/>
    <w:rsid w:val="003E4E1E"/>
    <w:rsid w:val="006D3F8F"/>
    <w:rsid w:val="00716960"/>
    <w:rsid w:val="007344FC"/>
    <w:rsid w:val="00894C52"/>
    <w:rsid w:val="00981846"/>
    <w:rsid w:val="009D7357"/>
    <w:rsid w:val="00A34887"/>
    <w:rsid w:val="00B55877"/>
    <w:rsid w:val="00BD0828"/>
    <w:rsid w:val="00D850E9"/>
    <w:rsid w:val="00DC753A"/>
    <w:rsid w:val="00E54327"/>
    <w:rsid w:val="00EB62E9"/>
    <w:rsid w:val="00EF44DC"/>
    <w:rsid w:val="00F00154"/>
    <w:rsid w:val="00F83893"/>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46A16"/>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b">
    <w:name w:val="Date"/>
    <w:basedOn w:val="a"/>
    <w:next w:val="a"/>
    <w:link w:val="ac"/>
    <w:rsid w:val="00082E38"/>
    <w:pPr>
      <w:adjustRightInd/>
      <w:spacing w:line="240" w:lineRule="auto"/>
      <w:ind w:leftChars="2500" w:left="100"/>
      <w:textAlignment w:val="auto"/>
    </w:pPr>
    <w:rPr>
      <w:kern w:val="2"/>
      <w:szCs w:val="20"/>
    </w:rPr>
  </w:style>
  <w:style w:type="character" w:customStyle="1" w:styleId="ac">
    <w:name w:val="日期 字符"/>
    <w:basedOn w:val="a1"/>
    <w:link w:val="ab"/>
    <w:rsid w:val="00082E38"/>
    <w:rPr>
      <w:rFonts w:eastAsia="方正仿宋_GBK"/>
      <w:kern w:val="2"/>
      <w:sz w:val="32"/>
    </w:rPr>
  </w:style>
  <w:style w:type="paragraph" w:styleId="ad">
    <w:name w:val="Balloon Text"/>
    <w:basedOn w:val="a"/>
    <w:link w:val="ae"/>
    <w:rsid w:val="002E1EE9"/>
    <w:pPr>
      <w:spacing w:line="240" w:lineRule="auto"/>
    </w:pPr>
    <w:rPr>
      <w:sz w:val="18"/>
      <w:szCs w:val="18"/>
    </w:rPr>
  </w:style>
  <w:style w:type="character" w:customStyle="1" w:styleId="ae">
    <w:name w:val="批注框文本 字符"/>
    <w:basedOn w:val="a1"/>
    <w:link w:val="ad"/>
    <w:rsid w:val="002E1EE9"/>
    <w:rPr>
      <w:rFonts w:eastAsia="方正仿宋_GB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2023-12-29T07:05:00Z</dcterms:created>
  <dcterms:modified xsi:type="dcterms:W3CDTF">2023-12-29T07:05:00Z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