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BE" w:rsidRPr="00F14ABE" w:rsidRDefault="00F14ABE" w:rsidP="00F14ABE">
      <w:pPr>
        <w:widowControl/>
        <w:adjustRightInd w:val="0"/>
        <w:snapToGrid w:val="0"/>
        <w:spacing w:line="580" w:lineRule="atLeast"/>
        <w:jc w:val="left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  <w:r w:rsidRPr="00F14ABE">
        <w:rPr>
          <w:rFonts w:ascii="方正黑体_GBK" w:eastAsia="方正黑体_GBK" w:hAnsiTheme="minorEastAsia" w:cs="宋体" w:hint="eastAsia"/>
          <w:bCs/>
          <w:kern w:val="0"/>
          <w:sz w:val="32"/>
          <w:szCs w:val="32"/>
        </w:rPr>
        <w:t>附件</w:t>
      </w:r>
    </w:p>
    <w:p w:rsidR="00F14ABE" w:rsidRDefault="00F14ABE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小标宋_GBK" w:eastAsia="方正小标宋_GBK" w:hAnsiTheme="minorEastAsia" w:cs="宋体"/>
          <w:bCs/>
          <w:kern w:val="0"/>
          <w:sz w:val="40"/>
          <w:szCs w:val="36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小标宋_GBK" w:eastAsia="方正小标宋_GBK" w:hAnsiTheme="minorEastAsia" w:cs="宋体"/>
          <w:bCs/>
          <w:kern w:val="0"/>
          <w:sz w:val="40"/>
          <w:szCs w:val="36"/>
        </w:rPr>
      </w:pPr>
      <w:r w:rsidRPr="009A3D76">
        <w:rPr>
          <w:rFonts w:ascii="方正小标宋_GBK" w:eastAsia="方正小标宋_GBK" w:hAnsiTheme="minorEastAsia" w:cs="宋体" w:hint="eastAsia"/>
          <w:bCs/>
          <w:kern w:val="0"/>
          <w:sz w:val="40"/>
          <w:szCs w:val="36"/>
        </w:rPr>
        <w:t>重庆市市级项目支出绩效评价操作指引</w:t>
      </w:r>
    </w:p>
    <w:p w:rsidR="006F5E92" w:rsidRPr="009A3D76" w:rsidRDefault="006F5E92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  <w:r w:rsidRPr="009A3D76">
        <w:rPr>
          <w:rFonts w:ascii="方正黑体_GBK" w:eastAsia="方正黑体_GBK" w:hAnsiTheme="minorEastAsia" w:cs="宋体" w:hint="eastAsia"/>
          <w:bCs/>
          <w:kern w:val="0"/>
          <w:sz w:val="32"/>
          <w:szCs w:val="32"/>
        </w:rPr>
        <w:t>第一章  总则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第一条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为规范项目</w:t>
      </w:r>
      <w:r w:rsidRPr="009A3D76">
        <w:rPr>
          <w:rFonts w:ascii="方正仿宋_GBK" w:eastAsia="方正仿宋_GBK" w:hint="eastAsia"/>
          <w:sz w:val="32"/>
          <w:szCs w:val="32"/>
        </w:rPr>
        <w:t>支出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绩效评价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工作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，提高评价质量，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根据</w:t>
      </w:r>
      <w:r w:rsidRPr="009A3D76">
        <w:rPr>
          <w:rFonts w:ascii="方正仿宋_GBK" w:eastAsia="方正仿宋_GBK" w:hint="eastAsia"/>
          <w:sz w:val="32"/>
          <w:szCs w:val="32"/>
        </w:rPr>
        <w:t>《项目支出绩效评价管理办法》《重庆市</w:t>
      </w:r>
      <w:r w:rsidRPr="009A3D76">
        <w:rPr>
          <w:rFonts w:ascii="方正仿宋_GBK" w:eastAsia="方正仿宋_GBK"/>
          <w:sz w:val="32"/>
          <w:szCs w:val="32"/>
        </w:rPr>
        <w:t>市级项目支出预算管理办法》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结合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实际，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制定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本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操作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指引。</w:t>
      </w:r>
    </w:p>
    <w:p w:rsidR="00604950" w:rsidRPr="009A3D76" w:rsidRDefault="00604950" w:rsidP="00604950">
      <w:pPr>
        <w:snapToGrid w:val="0"/>
        <w:spacing w:line="600" w:lineRule="exact"/>
        <w:ind w:firstLineChars="200" w:firstLine="640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第二条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本指引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适用于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市财政局对市级项目支出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绩效的评价。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本指引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由评价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准备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实施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、报告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撰写等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环节构成。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left"/>
        <w:outlineLvl w:val="2"/>
        <w:rPr>
          <w:rFonts w:ascii="宋体" w:eastAsia="宋体" w:hAnsi="宋体" w:cs="宋体"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  <w:r w:rsidRPr="009A3D76">
        <w:rPr>
          <w:rFonts w:ascii="方正黑体_GBK" w:eastAsia="方正黑体_GBK" w:hAnsi="宋体" w:cs="宋体" w:hint="eastAsia"/>
          <w:kern w:val="0"/>
          <w:sz w:val="32"/>
          <w:szCs w:val="32"/>
        </w:rPr>
        <w:t xml:space="preserve">第二章  </w:t>
      </w:r>
      <w:r w:rsidRPr="009A3D76">
        <w:rPr>
          <w:rFonts w:ascii="方正黑体_GBK" w:eastAsia="方正黑体_GBK" w:hAnsiTheme="minorEastAsia" w:cs="宋体" w:hint="eastAsia"/>
          <w:bCs/>
          <w:kern w:val="0"/>
          <w:sz w:val="32"/>
          <w:szCs w:val="32"/>
        </w:rPr>
        <w:t>评价准备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第四条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市财政局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或</w:t>
      </w:r>
      <w:r w:rsidR="003F5964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市财政局</w:t>
      </w:r>
      <w:r w:rsidR="003F5964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委托</w:t>
      </w:r>
      <w:r w:rsidR="003F5964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第三方机构（以下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合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称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为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）应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组成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小组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明确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主评人。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第五条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与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沟通，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了解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项目实施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、目的、范围、内容、方式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资金规模等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实施背景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和实施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情况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lastRenderedPageBreak/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工作由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第三方机构实施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市财政局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向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第三方机构介绍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评价目的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、相关要求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、重点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关注内容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等事项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第六条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评价机构自行或通过市财政局、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提供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等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多种方式收集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以下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，提前熟悉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项目实施的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目的和要求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：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（一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相关法律、法规和规章制度；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="方正仿宋_GBK" w:cs="微软雅黑"/>
          <w:sz w:val="28"/>
          <w:szCs w:val="28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（二）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党委、政府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及其部门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印发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的与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评价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项目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相关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的决策部署、任务要求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、标准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规范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；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（三）项目管理办法、资金管理办法；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（四）项目（资金）审批、下达文件；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（五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其他与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评价项目相关的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资料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应将前款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资料按照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效力高低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、印发的先后顺序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分类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制作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目录。对同一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事项的规定，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下级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文件与上级文件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有冲突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下级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文件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不予列入评价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目录。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第七条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应以项目预算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下达文件为基准，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制作项目预算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执行情况表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再次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分配的时间、方式、标准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管理模式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用途、区域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资金到达对象等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主要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维度分别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制作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明细表及汇总表。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前款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明细表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汇总表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同时显示预算及实际支出情况，其中实际支出数据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在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评价实施阶段收集。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明细表及汇总表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设计应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有利于按主要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维度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分层次、分类型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统计分析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lastRenderedPageBreak/>
        <w:t>第八条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应根据评价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制作项目实施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进度表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，包括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计划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时间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、实际时间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等要素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。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评价项目中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具有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不同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用途、区域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管理模式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资金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，项目实施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进度表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应按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用途、区域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管理模式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区分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中多个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文件时间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要求不一致的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，以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效力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最高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文件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为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计划时间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；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同等效力文件时间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要求不一致的，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以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距离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评价时间最近的时间为计划时间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实际时间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在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评价实施阶段收集。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工程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类项目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计划时间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实际时间包括开工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时间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里程碑时间和竣工时间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第九条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以项目预算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执行情况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表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为基础，在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主要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维度</w:t>
      </w:r>
      <w:r w:rsidRPr="009A3D7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分别随机选择</w:t>
      </w:r>
      <w:r w:rsidRPr="009A3D7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合理数量</w:t>
      </w:r>
      <w:r w:rsidRPr="009A3D7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的调查对象作为样本点，</w:t>
      </w:r>
      <w:r w:rsidRPr="009A3D7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确保</w:t>
      </w:r>
      <w:r w:rsidRPr="009A3D7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评价</w:t>
      </w:r>
      <w:r w:rsidRPr="009A3D7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内容完整、评价</w:t>
      </w:r>
      <w:r w:rsidRPr="009A3D7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重点突出、评价结果</w:t>
      </w:r>
      <w:r w:rsidRPr="009A3D7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客观</w:t>
      </w:r>
      <w:r w:rsidRPr="009A3D7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资金用于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工程建设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样本点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应以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业主或代建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方与项目参与各方签订的合同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为基础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确定。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政府购买服务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样本点的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确定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同时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考虑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服务提供方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及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区域分布因素。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应根据评价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参考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财政部门印发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或与其他部门联合印发的指标体系、财政部门批复的指标，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按照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实施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周期、项目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功能作用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发挥周期相衔接的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原则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设置体现项目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决策、管理、产出和效果的评价指标，明确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指标计分规则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，合理设置指标权重。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lastRenderedPageBreak/>
        <w:t>决策类指标应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包括但不限于前期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准备的充分性、</w:t>
      </w:r>
      <w:r w:rsidRPr="009A3D76">
        <w:rPr>
          <w:rFonts w:ascii="Times New Roman" w:eastAsia="方正仿宋_GBK" w:hAnsi="Times New Roman" w:cs="宋体" w:hint="eastAsia"/>
          <w:bCs/>
          <w:kern w:val="0"/>
          <w:sz w:val="32"/>
          <w:szCs w:val="32"/>
        </w:rPr>
        <w:t>决策程序</w:t>
      </w:r>
      <w:r w:rsidRPr="009A3D76">
        <w:rPr>
          <w:rFonts w:ascii="Times New Roman" w:eastAsia="方正仿宋_GBK" w:hAnsi="Times New Roman" w:cs="宋体"/>
          <w:bCs/>
          <w:kern w:val="0"/>
          <w:sz w:val="32"/>
          <w:szCs w:val="32"/>
        </w:rPr>
        <w:t>的合法性、绩效目标</w:t>
      </w:r>
      <w:r w:rsidRPr="009A3D76">
        <w:rPr>
          <w:rFonts w:ascii="Times New Roman" w:eastAsia="方正仿宋_GBK" w:hAnsi="Times New Roman" w:cs="宋体" w:hint="eastAsia"/>
          <w:bCs/>
          <w:kern w:val="0"/>
          <w:sz w:val="32"/>
          <w:szCs w:val="32"/>
        </w:rPr>
        <w:t>的合理</w:t>
      </w:r>
      <w:r w:rsidRPr="009A3D76">
        <w:rPr>
          <w:rFonts w:ascii="Times New Roman" w:eastAsia="方正仿宋_GBK" w:hAnsi="Times New Roman" w:cs="宋体"/>
          <w:bCs/>
          <w:kern w:val="0"/>
          <w:sz w:val="32"/>
          <w:szCs w:val="32"/>
        </w:rPr>
        <w:t>性</w:t>
      </w:r>
      <w:r w:rsidRPr="009A3D76">
        <w:rPr>
          <w:rFonts w:ascii="Times New Roman" w:eastAsia="方正仿宋_GBK" w:hAnsi="Times New Roman" w:cs="宋体" w:hint="eastAsia"/>
          <w:bCs/>
          <w:kern w:val="0"/>
          <w:sz w:val="32"/>
          <w:szCs w:val="32"/>
        </w:rPr>
        <w:t>等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二级指标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；管理类指标应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包括但不限于项目（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业务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预算、成本）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管理措施的可行性、有效性、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项目主管部门绩效管理</w:t>
      </w:r>
      <w:r w:rsidRPr="009A3D76">
        <w:rPr>
          <w:rFonts w:ascii="Times New Roman" w:eastAsia="方正仿宋_GBK" w:hAnsi="Times New Roman"/>
          <w:sz w:val="32"/>
          <w:szCs w:val="32"/>
        </w:rPr>
        <w:t>质量</w:t>
      </w:r>
      <w:r w:rsidRPr="009A3D76">
        <w:rPr>
          <w:rFonts w:ascii="Times New Roman" w:eastAsia="方正仿宋_GBK" w:hAnsi="Times New Roman" w:cs="宋体" w:hint="eastAsia"/>
          <w:bCs/>
          <w:kern w:val="0"/>
          <w:sz w:val="32"/>
          <w:szCs w:val="32"/>
        </w:rPr>
        <w:t>等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二级指标，其中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项目（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业务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预算、成本）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管理措施的可行性、有效性指标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应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区分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项目主管部门和项目实施单位分别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设置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产出类指标应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包括但不限于数量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、质量、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时效</w:t>
      </w:r>
      <w:r w:rsidRPr="009A3D76">
        <w:rPr>
          <w:rFonts w:ascii="Times New Roman" w:eastAsia="方正仿宋_GBK" w:hAnsi="Times New Roman" w:cs="宋体" w:hint="eastAsia"/>
          <w:bCs/>
          <w:kern w:val="0"/>
          <w:sz w:val="32"/>
          <w:szCs w:val="32"/>
        </w:rPr>
        <w:t>等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二级指标；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效果类指标应与项目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实施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初衷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相衔接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涉及下级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政府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或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受益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对象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资金配套的，应设置配套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资金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到位情况指标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600" w:lineRule="exact"/>
        <w:ind w:firstLineChars="200" w:firstLine="640"/>
        <w:outlineLvl w:val="2"/>
        <w:rPr>
          <w:rFonts w:ascii="Times New Roman" w:eastAsia="方正仿宋_GBK" w:hAnsi="Times New Roman"/>
          <w:sz w:val="32"/>
          <w:szCs w:val="32"/>
        </w:rPr>
      </w:pPr>
      <w:r w:rsidRPr="009A3D76">
        <w:rPr>
          <w:rFonts w:ascii="Times New Roman" w:eastAsia="方正仿宋_GBK" w:hAnsi="Times New Roman" w:hint="eastAsia"/>
          <w:sz w:val="32"/>
          <w:szCs w:val="32"/>
        </w:rPr>
        <w:t>评价</w:t>
      </w:r>
      <w:r w:rsidRPr="009A3D76">
        <w:rPr>
          <w:rFonts w:ascii="Times New Roman" w:eastAsia="方正仿宋_GBK" w:hAnsi="Times New Roman"/>
          <w:sz w:val="32"/>
          <w:szCs w:val="32"/>
        </w:rPr>
        <w:t>依据有明确的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目标</w:t>
      </w:r>
      <w:r w:rsidRPr="009A3D76">
        <w:rPr>
          <w:rFonts w:ascii="Times New Roman" w:eastAsia="方正仿宋_GBK" w:hAnsi="Times New Roman"/>
          <w:sz w:val="32"/>
          <w:szCs w:val="32"/>
        </w:rPr>
        <w:t>值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或</w:t>
      </w:r>
      <w:r w:rsidRPr="009A3D76">
        <w:rPr>
          <w:rFonts w:ascii="Times New Roman" w:eastAsia="方正仿宋_GBK" w:hAnsi="Times New Roman"/>
          <w:sz w:val="32"/>
          <w:szCs w:val="32"/>
        </w:rPr>
        <w:t>标准值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的</w:t>
      </w:r>
      <w:r w:rsidRPr="009A3D76">
        <w:rPr>
          <w:rFonts w:ascii="Times New Roman" w:eastAsia="方正仿宋_GBK" w:hAnsi="Times New Roman"/>
          <w:sz w:val="32"/>
          <w:szCs w:val="32"/>
        </w:rPr>
        <w:t>，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该目标值或标准值应予以采用，</w:t>
      </w:r>
      <w:r w:rsidRPr="009A3D76">
        <w:rPr>
          <w:rFonts w:ascii="Times New Roman" w:eastAsia="方正仿宋_GBK" w:hAnsi="Times New Roman"/>
          <w:sz w:val="32"/>
          <w:szCs w:val="32"/>
        </w:rPr>
        <w:t>但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被评价单位</w:t>
      </w:r>
      <w:r w:rsidRPr="009A3D76">
        <w:rPr>
          <w:rFonts w:ascii="Times New Roman" w:eastAsia="方正仿宋_GBK" w:hAnsi="Times New Roman"/>
          <w:sz w:val="32"/>
          <w:szCs w:val="32"/>
        </w:rPr>
        <w:t>编制的绩效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目标</w:t>
      </w:r>
      <w:r w:rsidRPr="009A3D76">
        <w:rPr>
          <w:rFonts w:ascii="Times New Roman" w:eastAsia="方正仿宋_GBK" w:hAnsi="Times New Roman"/>
          <w:sz w:val="32"/>
          <w:szCs w:val="32"/>
        </w:rPr>
        <w:t>值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明显不</w:t>
      </w:r>
      <w:r w:rsidRPr="009A3D76">
        <w:rPr>
          <w:rFonts w:ascii="Times New Roman" w:eastAsia="方正仿宋_GBK" w:hAnsi="Times New Roman"/>
          <w:sz w:val="32"/>
          <w:szCs w:val="32"/>
        </w:rPr>
        <w:t>合理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的除外。</w:t>
      </w:r>
      <w:r w:rsidRPr="009A3D76">
        <w:rPr>
          <w:rFonts w:ascii="Times New Roman" w:eastAsia="方正仿宋_GBK" w:hAnsi="Times New Roman"/>
          <w:sz w:val="32"/>
          <w:szCs w:val="32"/>
        </w:rPr>
        <w:t>没有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目标</w:t>
      </w:r>
      <w:r w:rsidRPr="009A3D76">
        <w:rPr>
          <w:rFonts w:ascii="Times New Roman" w:eastAsia="方正仿宋_GBK" w:hAnsi="Times New Roman"/>
          <w:sz w:val="32"/>
          <w:szCs w:val="32"/>
        </w:rPr>
        <w:t>值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、</w:t>
      </w:r>
      <w:r w:rsidRPr="009A3D76">
        <w:rPr>
          <w:rFonts w:ascii="Times New Roman" w:eastAsia="方正仿宋_GBK" w:hAnsi="Times New Roman"/>
          <w:sz w:val="32"/>
          <w:szCs w:val="32"/>
        </w:rPr>
        <w:t>标准值的，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应参考</w:t>
      </w:r>
      <w:r w:rsidRPr="009A3D76">
        <w:rPr>
          <w:rFonts w:ascii="Times New Roman" w:eastAsia="方正仿宋_GBK" w:hAnsi="Times New Roman"/>
          <w:sz w:val="32"/>
          <w:szCs w:val="32"/>
        </w:rPr>
        <w:t>历史值、行业值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评价</w:t>
      </w:r>
      <w:r w:rsidRPr="009A3D76">
        <w:rPr>
          <w:rFonts w:ascii="Times New Roman" w:eastAsia="方正仿宋_GBK" w:hAnsi="Times New Roman"/>
          <w:sz w:val="32"/>
          <w:szCs w:val="32"/>
        </w:rPr>
        <w:t>。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项目</w:t>
      </w:r>
      <w:r w:rsidRPr="009A3D76">
        <w:rPr>
          <w:rFonts w:ascii="Times New Roman" w:eastAsia="方正仿宋_GBK" w:hAnsi="Times New Roman"/>
          <w:sz w:val="32"/>
          <w:szCs w:val="32"/>
        </w:rPr>
        <w:t>资金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来源于</w:t>
      </w:r>
      <w:r w:rsidRPr="009A3D76">
        <w:rPr>
          <w:rFonts w:ascii="Times New Roman" w:eastAsia="方正仿宋_GBK" w:hAnsi="Times New Roman"/>
          <w:sz w:val="32"/>
          <w:szCs w:val="32"/>
        </w:rPr>
        <w:t>多渠道的，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评价</w:t>
      </w:r>
      <w:r w:rsidRPr="009A3D76">
        <w:rPr>
          <w:rFonts w:ascii="Times New Roman" w:eastAsia="方正仿宋_GBK" w:hAnsi="Times New Roman"/>
          <w:sz w:val="32"/>
          <w:szCs w:val="32"/>
        </w:rPr>
        <w:t>指标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值</w:t>
      </w:r>
      <w:r w:rsidRPr="009A3D76">
        <w:rPr>
          <w:rFonts w:ascii="Times New Roman" w:eastAsia="方正仿宋_GBK" w:hAnsi="Times New Roman"/>
          <w:sz w:val="32"/>
          <w:szCs w:val="32"/>
        </w:rPr>
        <w:t>应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与</w:t>
      </w:r>
      <w:r w:rsidRPr="009A3D76">
        <w:rPr>
          <w:rFonts w:ascii="Times New Roman" w:eastAsia="方正仿宋_GBK" w:hAnsi="Times New Roman"/>
          <w:sz w:val="32"/>
          <w:szCs w:val="32"/>
        </w:rPr>
        <w:t>项目总投资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相匹配。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计分规则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明确指标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计算口径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、计算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公式、得分条件、未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达到指标值的扣分规则。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第十一条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一个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项目中的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资金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分别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用于工程建设、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补助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补贴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及其他不同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用途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且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资金占比均不低的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，应按资金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用途拆分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，分别设置评价指标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/>
          <w:sz w:val="32"/>
          <w:szCs w:val="32"/>
        </w:rPr>
      </w:pP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拆分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项目指标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权重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样本点分值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分配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应考虑不同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用途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资金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占比及对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整个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项目绩效的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影响程度等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因素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。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资金占比高或虽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lastRenderedPageBreak/>
        <w:t>然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占比不高但对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整个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项目的产出或效果具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重要或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关键作用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 xml:space="preserve">，应赋予较高的权重。 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第十二条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价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机构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以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样本点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为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基础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制作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基础信息表，包括但不限于各类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样本点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基本情况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、获得资金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支持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情况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获得资金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支持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各项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条件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情况、管理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措施主要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内容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要素及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其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落实情况、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合同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主要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内容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要素及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其履行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情况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等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，并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相关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评价指标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计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分所需的主要依据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衔接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表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中各要素应具备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客观、未经加工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直接获取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、可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统计等特征。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样本点的预算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执行情况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及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实施进度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等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基础信息可在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基础信息表中集中反映，也可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项目预算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执行情况表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进度表中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反映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宋体" w:eastAsia="宋体" w:hAnsi="宋体" w:cs="宋体"/>
          <w:kern w:val="0"/>
          <w:sz w:val="32"/>
          <w:szCs w:val="32"/>
        </w:rPr>
      </w:pPr>
      <w:r w:rsidRPr="009A3D76">
        <w:rPr>
          <w:rFonts w:ascii="方正仿宋_GBK" w:eastAsia="方正仿宋_GBK" w:hint="eastAsia"/>
          <w:sz w:val="32"/>
          <w:szCs w:val="32"/>
        </w:rPr>
        <w:t>项目</w:t>
      </w:r>
      <w:r w:rsidRPr="009A3D76">
        <w:rPr>
          <w:rFonts w:ascii="方正仿宋_GBK" w:eastAsia="方正仿宋_GBK"/>
          <w:sz w:val="32"/>
          <w:szCs w:val="32"/>
        </w:rPr>
        <w:t>资金用于</w:t>
      </w:r>
      <w:r w:rsidRPr="009A3D76">
        <w:rPr>
          <w:rFonts w:ascii="方正仿宋_GBK" w:eastAsia="方正仿宋_GBK" w:hint="eastAsia"/>
          <w:sz w:val="32"/>
          <w:szCs w:val="32"/>
        </w:rPr>
        <w:t>产业或</w:t>
      </w:r>
      <w:r w:rsidRPr="009A3D76">
        <w:rPr>
          <w:rFonts w:ascii="方正仿宋_GBK" w:eastAsia="方正仿宋_GBK"/>
          <w:sz w:val="32"/>
          <w:szCs w:val="32"/>
        </w:rPr>
        <w:t>行为引导的，基础信息表应包括</w:t>
      </w:r>
      <w:r w:rsidRPr="009A3D76">
        <w:rPr>
          <w:rFonts w:ascii="方正仿宋_GBK" w:eastAsia="方正仿宋_GBK" w:hint="eastAsia"/>
          <w:sz w:val="32"/>
          <w:szCs w:val="32"/>
        </w:rPr>
        <w:t>申请书</w:t>
      </w:r>
      <w:r w:rsidRPr="009A3D76">
        <w:rPr>
          <w:rFonts w:ascii="方正仿宋_GBK" w:eastAsia="方正仿宋_GBK"/>
          <w:sz w:val="32"/>
          <w:szCs w:val="32"/>
        </w:rPr>
        <w:t>、承诺书、任务书</w:t>
      </w:r>
      <w:r w:rsidRPr="009A3D76">
        <w:rPr>
          <w:rFonts w:ascii="方正仿宋_GBK" w:eastAsia="方正仿宋_GBK" w:hint="eastAsia"/>
          <w:sz w:val="32"/>
          <w:szCs w:val="32"/>
        </w:rPr>
        <w:t>等资金受益</w:t>
      </w:r>
      <w:r w:rsidRPr="009A3D76">
        <w:rPr>
          <w:rFonts w:ascii="方正仿宋_GBK" w:eastAsia="方正仿宋_GBK"/>
          <w:sz w:val="32"/>
          <w:szCs w:val="32"/>
        </w:rPr>
        <w:t>方或潜在</w:t>
      </w:r>
      <w:r w:rsidRPr="009A3D76">
        <w:rPr>
          <w:rFonts w:ascii="方正仿宋_GBK" w:eastAsia="方正仿宋_GBK" w:hint="eastAsia"/>
          <w:sz w:val="32"/>
          <w:szCs w:val="32"/>
        </w:rPr>
        <w:t>受益方</w:t>
      </w:r>
      <w:r w:rsidRPr="009A3D76">
        <w:rPr>
          <w:rFonts w:ascii="方正仿宋_GBK" w:eastAsia="方正仿宋_GBK"/>
          <w:sz w:val="32"/>
          <w:szCs w:val="32"/>
        </w:rPr>
        <w:t>提交的文书或与主管部门</w:t>
      </w:r>
      <w:r w:rsidRPr="009A3D76">
        <w:rPr>
          <w:rFonts w:ascii="方正仿宋_GBK" w:eastAsia="方正仿宋_GBK" w:hint="eastAsia"/>
          <w:sz w:val="32"/>
          <w:szCs w:val="32"/>
        </w:rPr>
        <w:t>（或</w:t>
      </w:r>
      <w:r w:rsidRPr="009A3D76">
        <w:rPr>
          <w:rFonts w:ascii="方正仿宋_GBK" w:eastAsia="方正仿宋_GBK"/>
          <w:sz w:val="32"/>
          <w:szCs w:val="32"/>
        </w:rPr>
        <w:t>项目实施单位</w:t>
      </w:r>
      <w:r w:rsidRPr="009A3D76">
        <w:rPr>
          <w:rFonts w:ascii="方正仿宋_GBK" w:eastAsia="方正仿宋_GBK" w:hint="eastAsia"/>
          <w:sz w:val="32"/>
          <w:szCs w:val="32"/>
        </w:rPr>
        <w:t>）</w:t>
      </w:r>
      <w:r w:rsidRPr="009A3D76">
        <w:rPr>
          <w:rFonts w:ascii="方正仿宋_GBK" w:eastAsia="方正仿宋_GBK"/>
          <w:sz w:val="32"/>
          <w:szCs w:val="32"/>
        </w:rPr>
        <w:t>签订的文书</w:t>
      </w:r>
      <w:r w:rsidRPr="009A3D76">
        <w:rPr>
          <w:rFonts w:ascii="方正仿宋_GBK" w:eastAsia="方正仿宋_GBK" w:hint="eastAsia"/>
          <w:sz w:val="32"/>
          <w:szCs w:val="32"/>
        </w:rPr>
        <w:t>的主要内容或关键</w:t>
      </w:r>
      <w:r w:rsidRPr="009A3D76">
        <w:rPr>
          <w:rFonts w:ascii="方正仿宋_GBK" w:eastAsia="方正仿宋_GBK"/>
          <w:sz w:val="32"/>
          <w:szCs w:val="32"/>
        </w:rPr>
        <w:t>要素。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第十三条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价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机构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应对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参与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决策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、实施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验收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等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全过程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相关方及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直接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相关的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利害关系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方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分别设计调查问卷，对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项目决策、管理、实施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效果等情况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进行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全面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调查。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第十四条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小组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应制定评价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方案，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包括但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不限于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以下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内容：评价目的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、评价指标及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计分规则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，项目预算执行情况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lastRenderedPageBreak/>
        <w:t>表、项目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进度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、样本点基础信息表、调查问卷内容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及格式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人员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分工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和时间节点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  <w:r w:rsidRPr="009A3D76">
        <w:rPr>
          <w:rFonts w:ascii="方正黑体_GBK" w:eastAsia="方正黑体_GBK" w:hAnsi="宋体" w:cs="宋体" w:hint="eastAsia"/>
          <w:kern w:val="0"/>
          <w:sz w:val="32"/>
          <w:szCs w:val="32"/>
        </w:rPr>
        <w:t xml:space="preserve">第三章  </w:t>
      </w:r>
      <w:r w:rsidRPr="009A3D76">
        <w:rPr>
          <w:rFonts w:ascii="方正黑体_GBK" w:eastAsia="方正黑体_GBK" w:hAnsiTheme="minorEastAsia" w:cs="宋体" w:hint="eastAsia"/>
          <w:bCs/>
          <w:kern w:val="0"/>
          <w:sz w:val="32"/>
          <w:szCs w:val="32"/>
        </w:rPr>
        <w:t>评价实施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第十五条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机构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通过查看资料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及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现场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走访调查等方式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获取项目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一手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情况开展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工作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第十六条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应书面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通知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或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实施单位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按时、完整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提交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项目决策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管理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相关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int="eastAsia"/>
          <w:sz w:val="32"/>
          <w:szCs w:val="32"/>
        </w:rPr>
        <w:t>告知单位对资料的真实性、准确性、完整性负责及不提交或</w:t>
      </w:r>
      <w:r w:rsidRPr="009A3D76">
        <w:rPr>
          <w:rFonts w:ascii="方正仿宋_GBK" w:eastAsia="方正仿宋_GBK"/>
          <w:sz w:val="32"/>
          <w:szCs w:val="32"/>
        </w:rPr>
        <w:t>不完整提交</w:t>
      </w:r>
      <w:r w:rsidRPr="009A3D76">
        <w:rPr>
          <w:rFonts w:ascii="方正仿宋_GBK" w:eastAsia="方正仿宋_GBK" w:hint="eastAsia"/>
          <w:sz w:val="32"/>
          <w:szCs w:val="32"/>
        </w:rPr>
        <w:t>资料</w:t>
      </w:r>
      <w:r w:rsidRPr="009A3D76">
        <w:rPr>
          <w:rFonts w:ascii="方正仿宋_GBK" w:eastAsia="方正仿宋_GBK"/>
          <w:sz w:val="32"/>
          <w:szCs w:val="32"/>
        </w:rPr>
        <w:t>的</w:t>
      </w:r>
      <w:r w:rsidRPr="009A3D76">
        <w:rPr>
          <w:rFonts w:ascii="方正仿宋_GBK" w:eastAsia="方正仿宋_GBK" w:hint="eastAsia"/>
          <w:sz w:val="32"/>
          <w:szCs w:val="32"/>
        </w:rPr>
        <w:t>后果。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相关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单位未按时提交的</w:t>
      </w:r>
      <w:r w:rsidRPr="009A3D76">
        <w:rPr>
          <w:rFonts w:ascii="方正仿宋_GBK" w:eastAsia="方正仿宋_GBK" w:hint="eastAsia"/>
          <w:sz w:val="32"/>
          <w:szCs w:val="32"/>
        </w:rPr>
        <w:t>，应联系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 w:hint="eastAsia"/>
          <w:sz w:val="32"/>
          <w:szCs w:val="32"/>
        </w:rPr>
        <w:t>协助或</w:t>
      </w:r>
      <w:r w:rsidRPr="009A3D76">
        <w:rPr>
          <w:rFonts w:ascii="方正仿宋_GBK" w:eastAsia="方正仿宋_GBK"/>
          <w:sz w:val="32"/>
          <w:szCs w:val="32"/>
        </w:rPr>
        <w:t>督促</w:t>
      </w:r>
      <w:r w:rsidRPr="009A3D76">
        <w:rPr>
          <w:rFonts w:ascii="方正仿宋_GBK" w:eastAsia="方正仿宋_GBK" w:hint="eastAsia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第十七条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通过查看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以下业务资料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提取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项目绩效评价相关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信息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：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（一）项目实施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前情况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int="eastAsia"/>
          <w:sz w:val="32"/>
          <w:szCs w:val="32"/>
        </w:rPr>
        <w:t>项目实施条件</w:t>
      </w:r>
      <w:r w:rsidRPr="009A3D76">
        <w:rPr>
          <w:rFonts w:ascii="方正仿宋_GBK" w:eastAsia="方正仿宋_GBK"/>
          <w:sz w:val="32"/>
          <w:szCs w:val="32"/>
        </w:rPr>
        <w:t>资料</w:t>
      </w:r>
      <w:r w:rsidRPr="009A3D76">
        <w:rPr>
          <w:rFonts w:ascii="方正仿宋_GBK" w:eastAsia="方正仿宋_GBK" w:hint="eastAsia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int="eastAsia"/>
          <w:sz w:val="32"/>
          <w:szCs w:val="32"/>
        </w:rPr>
        <w:t>（三</w:t>
      </w:r>
      <w:r w:rsidRPr="009A3D76">
        <w:rPr>
          <w:rFonts w:ascii="方正仿宋_GBK" w:eastAsia="方正仿宋_GBK"/>
          <w:sz w:val="32"/>
          <w:szCs w:val="32"/>
        </w:rPr>
        <w:t>）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/>
          <w:sz w:val="32"/>
          <w:szCs w:val="32"/>
        </w:rPr>
        <w:t>决策资料</w:t>
      </w:r>
      <w:r w:rsidRPr="009A3D76">
        <w:rPr>
          <w:rFonts w:ascii="方正仿宋_GBK" w:eastAsia="方正仿宋_GBK" w:hint="eastAsia"/>
          <w:sz w:val="32"/>
          <w:szCs w:val="32"/>
        </w:rPr>
        <w:t>。</w:t>
      </w:r>
      <w:r w:rsidRPr="009A3D76">
        <w:rPr>
          <w:rFonts w:ascii="方正仿宋_GBK" w:eastAsia="方正仿宋_GBK"/>
          <w:sz w:val="32"/>
          <w:szCs w:val="32"/>
        </w:rPr>
        <w:t>项目由上级部门审批的，查看</w:t>
      </w:r>
      <w:r w:rsidRPr="009A3D76">
        <w:rPr>
          <w:rFonts w:ascii="方正仿宋_GBK" w:eastAsia="方正仿宋_GBK" w:hint="eastAsia"/>
          <w:sz w:val="32"/>
          <w:szCs w:val="32"/>
        </w:rPr>
        <w:t>项目</w:t>
      </w:r>
      <w:r w:rsidRPr="009A3D76">
        <w:rPr>
          <w:rFonts w:ascii="方正仿宋_GBK" w:eastAsia="方正仿宋_GBK"/>
          <w:sz w:val="32"/>
          <w:szCs w:val="32"/>
        </w:rPr>
        <w:t>申报</w:t>
      </w:r>
      <w:r w:rsidRPr="009A3D76">
        <w:rPr>
          <w:rFonts w:ascii="方正仿宋_GBK" w:eastAsia="方正仿宋_GBK" w:hint="eastAsia"/>
          <w:sz w:val="32"/>
          <w:szCs w:val="32"/>
        </w:rPr>
        <w:t>和</w:t>
      </w:r>
      <w:r w:rsidRPr="009A3D76">
        <w:rPr>
          <w:rFonts w:ascii="方正仿宋_GBK" w:eastAsia="方正仿宋_GBK"/>
          <w:sz w:val="32"/>
          <w:szCs w:val="32"/>
        </w:rPr>
        <w:t>审批资料</w:t>
      </w:r>
      <w:r w:rsidRPr="009A3D76">
        <w:rPr>
          <w:rFonts w:ascii="方正仿宋_GBK" w:eastAsia="方正仿宋_GBK" w:hint="eastAsia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（四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 w:hint="eastAsia"/>
          <w:sz w:val="32"/>
          <w:szCs w:val="32"/>
        </w:rPr>
        <w:t>对</w:t>
      </w:r>
      <w:r w:rsidRPr="009A3D76">
        <w:rPr>
          <w:rFonts w:ascii="方正仿宋_GBK" w:eastAsia="方正仿宋_GBK"/>
          <w:sz w:val="32"/>
          <w:szCs w:val="32"/>
        </w:rPr>
        <w:t>项目管理措施</w:t>
      </w:r>
      <w:r w:rsidRPr="009A3D76">
        <w:rPr>
          <w:rFonts w:ascii="方正仿宋_GBK" w:eastAsia="方正仿宋_GBK" w:hint="eastAsia"/>
          <w:sz w:val="32"/>
          <w:szCs w:val="32"/>
        </w:rPr>
        <w:t>资料。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（五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实施单位</w:t>
      </w:r>
      <w:r w:rsidRPr="009A3D76">
        <w:rPr>
          <w:rFonts w:ascii="方正仿宋_GBK" w:eastAsia="方正仿宋_GBK" w:hint="eastAsia"/>
          <w:sz w:val="32"/>
          <w:szCs w:val="32"/>
        </w:rPr>
        <w:t>对</w:t>
      </w:r>
      <w:r w:rsidRPr="009A3D76">
        <w:rPr>
          <w:rFonts w:ascii="方正仿宋_GBK" w:eastAsia="方正仿宋_GBK"/>
          <w:sz w:val="32"/>
          <w:szCs w:val="32"/>
        </w:rPr>
        <w:t>项目管理措施</w:t>
      </w:r>
      <w:r w:rsidRPr="009A3D76">
        <w:rPr>
          <w:rFonts w:ascii="方正仿宋_GBK" w:eastAsia="方正仿宋_GBK" w:hint="eastAsia"/>
          <w:sz w:val="32"/>
          <w:szCs w:val="32"/>
        </w:rPr>
        <w:t>资料。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（六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）涉及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政府采购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、政府购买服务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的，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查看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采购过程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、合同签订及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合同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履行情况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资料。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lastRenderedPageBreak/>
        <w:t>（七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涉及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验收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程序的，查看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项目验收资料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（八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涉及对下级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政府、公民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法人和其他组织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奖励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补助补贴的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查看申请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承诺等资料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（九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项目决策、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实施及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管理全过程的其他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第十八条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通过查看项目预算管理、绩效管理、财务管理、资产管理情况，了解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及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项目实施单位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对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项目资金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、资产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的管理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int="eastAsia"/>
          <w:sz w:val="32"/>
          <w:szCs w:val="32"/>
        </w:rPr>
        <w:t>成本控制</w:t>
      </w:r>
      <w:r w:rsidRPr="009A3D76">
        <w:rPr>
          <w:rFonts w:ascii="方正仿宋_GBK" w:eastAsia="方正仿宋_GBK"/>
          <w:sz w:val="32"/>
          <w:szCs w:val="32"/>
        </w:rPr>
        <w:t>、</w:t>
      </w:r>
      <w:r w:rsidRPr="009A3D76">
        <w:rPr>
          <w:rFonts w:ascii="方正仿宋_GBK" w:eastAsia="方正仿宋_GBK" w:hint="eastAsia"/>
          <w:sz w:val="32"/>
          <w:szCs w:val="32"/>
        </w:rPr>
        <w:t>支出标准建设等情况，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提取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项目绩效评价相关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信息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第十九条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通过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现场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查看、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走访调查等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方式收集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产出和效果的资料。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第二十条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评价工程建设、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信息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化智能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化建设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、设施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设备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安装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、为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社会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公众购买服务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及其他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具有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特定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实施场地的项目，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应到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项目实施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现场查看，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了解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与项目绩效评价相关的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情况并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拍照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留存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 xml:space="preserve">。 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第二十一条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走访调查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项目全过程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实质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参与人、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直接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相关的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利害关系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方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走访调查内容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包括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但不限于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项目实施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必要性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、合理性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实施效果、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可持续性等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用于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产业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或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行为引导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，或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对特定人群补助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，既要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走访调查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实际获益者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也要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走访调查与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相关但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未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获益或未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提交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申请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相关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方。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lastRenderedPageBreak/>
        <w:t>第二十二条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应将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收集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的</w:t>
      </w:r>
      <w:r w:rsidRPr="009A3D76">
        <w:rPr>
          <w:rFonts w:ascii="方正仿宋_GBK" w:eastAsia="方正仿宋_GBK" w:hint="eastAsia"/>
          <w:sz w:val="32"/>
          <w:szCs w:val="32"/>
        </w:rPr>
        <w:t>文档、图片等资料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分类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整理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int="eastAsia"/>
          <w:sz w:val="32"/>
          <w:szCs w:val="32"/>
        </w:rPr>
        <w:t>对资料的来源、时间</w:t>
      </w:r>
      <w:r w:rsidRPr="009A3D76">
        <w:rPr>
          <w:rFonts w:ascii="方正仿宋_GBK" w:eastAsia="方正仿宋_GBK"/>
          <w:sz w:val="32"/>
          <w:szCs w:val="32"/>
        </w:rPr>
        <w:t>、</w:t>
      </w:r>
      <w:r w:rsidRPr="009A3D76">
        <w:rPr>
          <w:rFonts w:ascii="方正仿宋_GBK" w:eastAsia="方正仿宋_GBK" w:hint="eastAsia"/>
          <w:sz w:val="32"/>
          <w:szCs w:val="32"/>
        </w:rPr>
        <w:t>证明对象和内容作简要说明，逐一编号。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对书面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资料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标注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取得方式及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来源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渠道，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对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图片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资料标注采集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时间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地点。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第二十三条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收集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评价资料应</w:t>
      </w:r>
      <w:r w:rsidRPr="009A3D76">
        <w:rPr>
          <w:rFonts w:ascii="方正仿宋_GBK" w:eastAsia="方正仿宋_GBK" w:hint="eastAsia"/>
          <w:sz w:val="32"/>
          <w:szCs w:val="32"/>
        </w:rPr>
        <w:t>与</w:t>
      </w:r>
      <w:r w:rsidRPr="009A3D76">
        <w:rPr>
          <w:rFonts w:ascii="方正仿宋_GBK" w:eastAsia="方正仿宋_GBK"/>
          <w:sz w:val="32"/>
          <w:szCs w:val="32"/>
        </w:rPr>
        <w:t>评价指标对应</w:t>
      </w:r>
      <w:r w:rsidRPr="009A3D76">
        <w:rPr>
          <w:rFonts w:ascii="方正仿宋_GBK" w:eastAsia="方正仿宋_GBK" w:hint="eastAsia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指标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得分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有充分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资料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印证。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没有资料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的，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相关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指标不能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得分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；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资料不充分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，相关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指标相应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扣分。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指标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只能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评价机构按照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本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指引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开展评价工作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获取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的一手资料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以及审计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等监督机关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出具的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监督结论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计分，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不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得直接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采用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被评价单位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、实施单位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总结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报告等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资料或其他第三方起草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的资料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计分。</w:t>
      </w:r>
    </w:p>
    <w:p w:rsidR="00604950" w:rsidRPr="009A3D76" w:rsidRDefault="00604950" w:rsidP="0060495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第二十四条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评价机构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将通过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调查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收集的数据信息分类梳理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汇总样本点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基础信息表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、项目预算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执行情况表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进度表，综合</w:t>
      </w:r>
      <w:r w:rsidRPr="009A3D76">
        <w:rPr>
          <w:rFonts w:ascii="方正仿宋_GBK" w:eastAsia="方正仿宋_GBK" w:hAnsi="宋体" w:hint="eastAsia"/>
          <w:bCs/>
          <w:sz w:val="32"/>
          <w:szCs w:val="32"/>
        </w:rPr>
        <w:t>运用成本效益分析法、比较法、因素分析法、公众评判法、标杆管理法等，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分层次、分类型开展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分析，将各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类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情况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归纳总结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提炼。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/>
          <w:bCs/>
          <w:sz w:val="32"/>
          <w:szCs w:val="32"/>
        </w:rPr>
      </w:pP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将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实际情况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与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计划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批复、规则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历史、异地同行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等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比较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，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将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实际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支出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金额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、用途与预算比较</w:t>
      </w:r>
      <w:r w:rsidRPr="009A3D76">
        <w:rPr>
          <w:rFonts w:ascii="Times New Roman" w:eastAsia="方正仿宋_GBK" w:hAnsi="Times New Roman" w:hint="eastAsia"/>
          <w:bCs/>
          <w:sz w:val="32"/>
          <w:szCs w:val="32"/>
        </w:rPr>
        <w:t>，查找差距，分析原因。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="Times New Roman" w:cs="Times New Roman"/>
          <w:sz w:val="32"/>
          <w:szCs w:val="32"/>
        </w:rPr>
      </w:pP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将实际支出与绩效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比较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，分析投入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与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绩效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的匹配程度。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jc w:val="left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lastRenderedPageBreak/>
        <w:t>将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管理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措施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与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实际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效果</w:t>
      </w:r>
      <w:r w:rsidRPr="009A3D76">
        <w:rPr>
          <w:rFonts w:ascii="Times New Roman" w:eastAsia="方正仿宋_GBK" w:hAnsi="Times New Roman"/>
          <w:bCs/>
          <w:sz w:val="32"/>
          <w:szCs w:val="32"/>
        </w:rPr>
        <w:t>比较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，分析影响绩效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的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因素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jc w:val="left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的项目涉及相关支出政策的，应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关注政策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对项目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绩效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的影响。</w:t>
      </w:r>
    </w:p>
    <w:p w:rsidR="00604950" w:rsidRPr="009A3D76" w:rsidRDefault="00604950" w:rsidP="0060495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第二十五条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对评价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项目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中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专业性强的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问题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，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评价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机构可以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向有关主管部门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或专家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咨询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="宋体" w:cs="宋体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第二十六条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在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评价实施后期，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评价</w:t>
      </w:r>
      <w:r w:rsidRPr="009A3D76">
        <w:rPr>
          <w:rFonts w:ascii="方正仿宋_GBK" w:eastAsia="方正仿宋_GBK" w:hAnsi="Times New Roman" w:cs="Times New Roman"/>
          <w:sz w:val="32"/>
          <w:szCs w:val="32"/>
        </w:rPr>
        <w:t>机构</w:t>
      </w:r>
      <w:r w:rsidRPr="009A3D76">
        <w:rPr>
          <w:rFonts w:ascii="方正仿宋_GBK" w:eastAsia="方正仿宋_GBK" w:hAnsi="Times New Roman" w:cs="Times New Roman" w:hint="eastAsia"/>
          <w:sz w:val="32"/>
          <w:szCs w:val="32"/>
        </w:rPr>
        <w:t>可以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结合收集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的资料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，对评价指标予以修正，确保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评价指标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完整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真实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地</w:t>
      </w:r>
      <w:r w:rsidRPr="009A3D76">
        <w:rPr>
          <w:rFonts w:ascii="方正仿宋_GBK" w:eastAsia="方正仿宋_GBK" w:hAnsi="方正仿宋_GBK" w:cs="微软雅黑"/>
          <w:sz w:val="32"/>
          <w:szCs w:val="32"/>
        </w:rPr>
        <w:t>反映项目</w:t>
      </w:r>
      <w:r w:rsidRPr="009A3D76">
        <w:rPr>
          <w:rFonts w:ascii="方正仿宋_GBK" w:eastAsia="方正仿宋_GBK" w:hAnsi="方正仿宋_GBK" w:cs="微软雅黑" w:hint="eastAsia"/>
          <w:sz w:val="32"/>
          <w:szCs w:val="32"/>
        </w:rPr>
        <w:t>实际绩效</w:t>
      </w:r>
      <w:r w:rsidRPr="009A3D76">
        <w:rPr>
          <w:rFonts w:ascii="方正仿宋_GBK" w:eastAsia="方正仿宋_GBK" w:hAnsi="宋体" w:cs="宋体" w:hint="eastAsia"/>
          <w:kern w:val="0"/>
          <w:sz w:val="32"/>
          <w:szCs w:val="32"/>
        </w:rPr>
        <w:t>。修正时应</w:t>
      </w:r>
      <w:r w:rsidRPr="009A3D76">
        <w:rPr>
          <w:rFonts w:ascii="方正仿宋_GBK" w:eastAsia="方正仿宋_GBK" w:hAnsi="宋体" w:cs="宋体"/>
          <w:kern w:val="0"/>
          <w:sz w:val="32"/>
          <w:szCs w:val="32"/>
        </w:rPr>
        <w:t>说明理由。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sz w:val="32"/>
          <w:szCs w:val="32"/>
        </w:rPr>
        <w:t>第二十七条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hint="eastAsia"/>
          <w:sz w:val="32"/>
          <w:szCs w:val="32"/>
        </w:rPr>
        <w:t>评价指标值由各样本指标值汇总而成。定量指标，由各样本指标值累加计算，相对数按照资金额度加权计算。定性指标，根据完成情况分别确定指标值，并按照资金额度加权计算。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bCs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一个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项目按资金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用途拆分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后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分别设置评价指标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结论按照资金</w:t>
      </w:r>
      <w:r w:rsidRPr="009A3D76">
        <w:rPr>
          <w:rFonts w:ascii="方正仿宋_GBK" w:eastAsia="方正仿宋_GBK" w:hAnsiTheme="minorEastAsia" w:hint="eastAsia"/>
          <w:sz w:val="32"/>
          <w:szCs w:val="32"/>
        </w:rPr>
        <w:t>额度加权</w:t>
      </w:r>
      <w:r w:rsidRPr="009A3D76">
        <w:rPr>
          <w:rFonts w:ascii="方正仿宋_GBK" w:eastAsia="方正仿宋_GBK" w:hAnsiTheme="minorEastAsia" w:cs="宋体"/>
          <w:bCs/>
          <w:kern w:val="0"/>
          <w:sz w:val="32"/>
          <w:szCs w:val="32"/>
        </w:rPr>
        <w:t>计算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sz w:val="32"/>
          <w:szCs w:val="32"/>
        </w:rPr>
        <w:t>第二十八条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Times New Roman" w:eastAsia="方正仿宋_GBK" w:hAnsi="Times New Roman" w:cs="Times New Roman"/>
          <w:color w:val="000000"/>
          <w:sz w:val="32"/>
          <w:szCs w:val="32"/>
        </w:rPr>
        <w:t>项目绩效的评价结论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按照得分情况确定为四个等级：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sz w:val="32"/>
          <w:szCs w:val="32"/>
        </w:rPr>
      </w:pPr>
      <w:r w:rsidRPr="009A3D76">
        <w:rPr>
          <w:rFonts w:ascii="Times New Roman" w:eastAsia="方正仿宋_GBK" w:hAnsi="Times New Roman" w:cs="Times New Roman"/>
          <w:sz w:val="32"/>
          <w:szCs w:val="32"/>
        </w:rPr>
        <w:t>（一）得分在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90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分以上的，为优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sz w:val="32"/>
          <w:szCs w:val="32"/>
        </w:rPr>
      </w:pPr>
      <w:r w:rsidRPr="009A3D76">
        <w:rPr>
          <w:rFonts w:ascii="Times New Roman" w:eastAsia="方正仿宋_GBK" w:hAnsi="Times New Roman" w:cs="Times New Roman"/>
          <w:sz w:val="32"/>
          <w:szCs w:val="32"/>
        </w:rPr>
        <w:t>（二）得分在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80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分以上、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低于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90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分的，为良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sz w:val="32"/>
          <w:szCs w:val="32"/>
        </w:rPr>
      </w:pPr>
      <w:r w:rsidRPr="009A3D76">
        <w:rPr>
          <w:rFonts w:ascii="Times New Roman" w:eastAsia="方正仿宋_GBK" w:hAnsi="Times New Roman" w:cs="Times New Roman"/>
          <w:sz w:val="32"/>
          <w:szCs w:val="32"/>
        </w:rPr>
        <w:t>（三）得分在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分以上、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低于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80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分的，为中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04950" w:rsidRPr="009A3D76" w:rsidRDefault="00604950" w:rsidP="00604950">
      <w:pPr>
        <w:ind w:firstLineChars="200" w:firstLine="640"/>
      </w:pPr>
      <w:r w:rsidRPr="009A3D76">
        <w:rPr>
          <w:rFonts w:ascii="Times New Roman" w:eastAsia="方正仿宋_GBK" w:hAnsi="Times New Roman" w:cs="Times New Roman"/>
          <w:sz w:val="32"/>
          <w:szCs w:val="32"/>
        </w:rPr>
        <w:t>（四）得分不足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分的，为差。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left"/>
        <w:outlineLvl w:val="2"/>
        <w:rPr>
          <w:rFonts w:ascii="宋体" w:eastAsia="宋体" w:hAnsi="宋体" w:cs="宋体"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  <w:r w:rsidRPr="009A3D76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 xml:space="preserve">第四章  </w:t>
      </w:r>
      <w:r w:rsidRPr="009A3D76">
        <w:rPr>
          <w:rFonts w:ascii="方正黑体_GBK" w:eastAsia="方正黑体_GBK" w:hAnsiTheme="minorEastAsia" w:cs="宋体" w:hint="eastAsia"/>
          <w:bCs/>
          <w:kern w:val="0"/>
          <w:sz w:val="32"/>
          <w:szCs w:val="32"/>
        </w:rPr>
        <w:t>报告撰写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第二十九条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项目绩效评价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报告分为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征求意见稿和正式稿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由摘要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正文和附件组成。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摘要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包括以下内容： 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（一）项目概况。简要说明项目实施依据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目的、与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评价年度相对应的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预算及执行情况、主要用途等信息。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（二）评价情况。简要说明评价样本分布及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数量、评价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得分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及主要成效。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（三）需重点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关注的问题。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说明通过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评价发现的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主要问题及原因分析。问题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描述要有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问题的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具体表现、问题判断的依据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或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理由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四）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有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关建议。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结合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问题提出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针对性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的建议。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第三十一条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正文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包括以下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内容：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（一）</w:t>
      </w:r>
      <w:r w:rsidRPr="009A3D76">
        <w:rPr>
          <w:rFonts w:ascii="方正仿宋_GBK" w:eastAsia="方正仿宋_GBK" w:hint="eastAsia"/>
          <w:sz w:val="32"/>
          <w:szCs w:val="32"/>
        </w:rPr>
        <w:t>项目概况。说明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项目实施的</w:t>
      </w:r>
      <w:r w:rsidRPr="009A3D76">
        <w:rPr>
          <w:rFonts w:ascii="方正仿宋_GBK" w:eastAsia="方正仿宋_GBK" w:hint="eastAsia"/>
          <w:sz w:val="32"/>
          <w:szCs w:val="32"/>
        </w:rPr>
        <w:t>背景、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依据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、</w:t>
      </w:r>
      <w:r w:rsidRPr="009A3D76">
        <w:rPr>
          <w:rFonts w:ascii="方正仿宋_GBK" w:eastAsia="方正仿宋_GBK" w:hint="eastAsia"/>
          <w:sz w:val="32"/>
          <w:szCs w:val="32"/>
        </w:rPr>
        <w:t>目的、管理部门、预算及</w:t>
      </w:r>
      <w:r w:rsidRPr="009A3D76">
        <w:rPr>
          <w:rFonts w:ascii="方正仿宋_GBK" w:eastAsia="方正仿宋_GBK"/>
          <w:sz w:val="32"/>
          <w:szCs w:val="32"/>
        </w:rPr>
        <w:t>执行情况</w:t>
      </w:r>
      <w:r w:rsidRPr="009A3D76">
        <w:rPr>
          <w:rFonts w:ascii="方正仿宋_GBK" w:eastAsia="方正仿宋_GBK" w:hint="eastAsia"/>
          <w:sz w:val="32"/>
          <w:szCs w:val="32"/>
        </w:rPr>
        <w:t>、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主要用途，</w:t>
      </w:r>
      <w:r w:rsidRPr="009A3D76">
        <w:rPr>
          <w:rFonts w:ascii="方正仿宋_GBK" w:eastAsia="方正仿宋_GBK" w:hint="eastAsia"/>
          <w:sz w:val="32"/>
          <w:szCs w:val="32"/>
        </w:rPr>
        <w:t>等。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A3D76">
        <w:rPr>
          <w:rFonts w:ascii="方正仿宋_GBK" w:eastAsia="方正仿宋_GBK" w:hint="eastAsia"/>
          <w:sz w:val="32"/>
          <w:szCs w:val="32"/>
        </w:rPr>
        <w:t>（二</w:t>
      </w:r>
      <w:r w:rsidRPr="009A3D76">
        <w:rPr>
          <w:rFonts w:ascii="方正仿宋_GBK" w:eastAsia="方正仿宋_GBK"/>
          <w:sz w:val="32"/>
          <w:szCs w:val="32"/>
        </w:rPr>
        <w:t>）</w:t>
      </w:r>
      <w:r w:rsidRPr="009A3D76">
        <w:rPr>
          <w:rFonts w:ascii="方正仿宋_GBK" w:eastAsia="方正仿宋_GBK" w:hint="eastAsia"/>
          <w:sz w:val="32"/>
          <w:szCs w:val="32"/>
        </w:rPr>
        <w:t>绩效评价工作开展情况。</w:t>
      </w:r>
      <w:r w:rsidRPr="009A3D7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说明</w:t>
      </w:r>
      <w:r w:rsidRPr="009A3D7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评价依据</w:t>
      </w:r>
      <w:r w:rsidRPr="009A3D7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评价样本确定情况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评价方法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及其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运用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情况，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各评价指标得分情况以及对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包括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资金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、进度、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样本点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基础信息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等在内的通过评价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工作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收集的信息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的分析</w:t>
      </w:r>
      <w:r w:rsidRPr="009A3D76">
        <w:rPr>
          <w:rFonts w:ascii="方正仿宋_GBK" w:eastAsia="方正仿宋_GBK" w:hAnsiTheme="minorEastAsia" w:cs="宋体" w:hint="eastAsia"/>
          <w:bCs/>
          <w:kern w:val="0"/>
          <w:sz w:val="32"/>
          <w:szCs w:val="32"/>
        </w:rPr>
        <w:t>，</w:t>
      </w:r>
      <w:r w:rsidRPr="009A3D76">
        <w:rPr>
          <w:rFonts w:ascii="方正仿宋_GBK" w:eastAsia="方正仿宋_GBK" w:hint="eastAsia"/>
          <w:sz w:val="32"/>
          <w:szCs w:val="32"/>
        </w:rPr>
        <w:t>评价工作的特色做法。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A3D76">
        <w:rPr>
          <w:rFonts w:ascii="方正仿宋_GBK" w:eastAsia="方正仿宋_GBK" w:hint="eastAsia"/>
          <w:sz w:val="32"/>
          <w:szCs w:val="32"/>
        </w:rPr>
        <w:t>（三）评价结论。</w:t>
      </w:r>
      <w:r w:rsidRPr="009A3D7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说明</w:t>
      </w:r>
      <w:r w:rsidRPr="009A3D76">
        <w:rPr>
          <w:rFonts w:ascii="方正仿宋_GBK" w:eastAsia="方正仿宋_GBK" w:hint="eastAsia"/>
          <w:sz w:val="32"/>
          <w:szCs w:val="32"/>
        </w:rPr>
        <w:t>评价得分及等级，项目的总体绩效、</w:t>
      </w:r>
      <w:r w:rsidRPr="009A3D76">
        <w:rPr>
          <w:rFonts w:ascii="方正仿宋_GBK" w:eastAsia="方正仿宋_GBK" w:hint="eastAsia"/>
          <w:sz w:val="32"/>
          <w:szCs w:val="32"/>
        </w:rPr>
        <w:lastRenderedPageBreak/>
        <w:t>典型案例、主要经验，被</w:t>
      </w:r>
      <w:r w:rsidRPr="009A3D76">
        <w:rPr>
          <w:rFonts w:ascii="方正仿宋_GBK" w:eastAsia="方正仿宋_GBK"/>
          <w:sz w:val="32"/>
          <w:szCs w:val="32"/>
        </w:rPr>
        <w:t>评价单位</w:t>
      </w:r>
      <w:r w:rsidRPr="009A3D76">
        <w:rPr>
          <w:rFonts w:ascii="方正仿宋_GBK" w:eastAsia="方正仿宋_GBK" w:hint="eastAsia"/>
          <w:sz w:val="32"/>
          <w:szCs w:val="32"/>
        </w:rPr>
        <w:t>履行项目绩效管理主体责任情况。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9A3D76">
        <w:rPr>
          <w:rFonts w:ascii="方正仿宋_GBK" w:eastAsia="方正仿宋_GBK" w:hint="eastAsia"/>
          <w:sz w:val="32"/>
          <w:szCs w:val="32"/>
        </w:rPr>
        <w:t>（四）存在的问题及</w:t>
      </w:r>
      <w:r w:rsidRPr="009A3D76">
        <w:rPr>
          <w:rFonts w:ascii="方正仿宋_GBK" w:eastAsia="方正仿宋_GBK"/>
          <w:sz w:val="32"/>
          <w:szCs w:val="32"/>
        </w:rPr>
        <w:t>原因</w:t>
      </w:r>
      <w:r w:rsidRPr="009A3D76">
        <w:rPr>
          <w:rFonts w:ascii="方正仿宋_GBK" w:eastAsia="方正仿宋_GBK" w:hint="eastAsia"/>
          <w:sz w:val="32"/>
          <w:szCs w:val="32"/>
        </w:rPr>
        <w:t>。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说明通过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评价发现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问题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的具体表现、问题判断的依据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或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理由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9A3D76">
        <w:rPr>
          <w:rFonts w:ascii="方正仿宋_GBK" w:eastAsia="方正仿宋_GBK" w:hint="eastAsia"/>
          <w:sz w:val="32"/>
          <w:szCs w:val="32"/>
        </w:rPr>
        <w:t>分析问题成因。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int="eastAsia"/>
          <w:sz w:val="32"/>
          <w:szCs w:val="32"/>
        </w:rPr>
        <w:t>（五）有关建议。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结合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问题提出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针对性</w:t>
      </w:r>
      <w:r w:rsidRPr="009A3D76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的建议。</w:t>
      </w:r>
    </w:p>
    <w:p w:rsidR="00604950" w:rsidRPr="009A3D76" w:rsidRDefault="00604950" w:rsidP="00604950">
      <w:pPr>
        <w:adjustRightInd w:val="0"/>
        <w:snapToGrid w:val="0"/>
        <w:spacing w:line="580" w:lineRule="atLeast"/>
        <w:ind w:firstLineChars="200" w:firstLine="640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第三十二条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附件</w:t>
      </w:r>
      <w:r w:rsidRPr="009A3D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包括但不限于以下内容：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指标表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（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包括评价指标及计分规则）、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项目预算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执行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明细表和汇总表、项目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实施进度表、样本点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基础信息表及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分类汇总表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、调查问卷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格式及调查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问题梳理表。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宋体" w:eastAsia="宋体" w:hAnsi="宋体" w:cs="宋体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第三十三条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评价报告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征求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被评价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单位意见。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被评价单位对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征求意见稿的意见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以及评价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机构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对</w:t>
      </w:r>
      <w:bookmarkStart w:id="0" w:name="_GoBack"/>
      <w:bookmarkEnd w:id="0"/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意见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的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采纳情况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应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作为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评价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报告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正式稿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附件。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宋体" w:eastAsia="宋体" w:hAnsi="宋体" w:cs="宋体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第三十四条</w:t>
      </w:r>
      <w:r w:rsidR="0017272A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 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项目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绩效评价</w:t>
      </w:r>
      <w:r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报告应</w:t>
      </w:r>
      <w:r w:rsidRPr="009A3D76">
        <w:rPr>
          <w:rFonts w:ascii="方正仿宋_GBK" w:eastAsia="方正仿宋_GBK" w:hAnsiTheme="minorEastAsia" w:cs="宋体"/>
          <w:kern w:val="0"/>
          <w:sz w:val="32"/>
          <w:szCs w:val="32"/>
        </w:rPr>
        <w:t>由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主评人签字，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评价机构盖章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="宋体" w:cs="宋体"/>
          <w:kern w:val="0"/>
          <w:sz w:val="32"/>
          <w:szCs w:val="32"/>
        </w:rPr>
      </w:pPr>
      <w:r w:rsidRPr="009A3D76">
        <w:rPr>
          <w:rFonts w:ascii="方正黑体_GBK" w:eastAsia="方正黑体_GBK" w:hAnsi="宋体" w:cs="宋体" w:hint="eastAsia"/>
          <w:kern w:val="0"/>
          <w:sz w:val="32"/>
          <w:szCs w:val="32"/>
        </w:rPr>
        <w:t>第五章  附则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jc w:val="center"/>
        <w:outlineLvl w:val="2"/>
        <w:rPr>
          <w:rFonts w:ascii="方正黑体_GBK" w:eastAsia="方正黑体_GBK" w:hAnsiTheme="minorEastAsia" w:cs="宋体"/>
          <w:bCs/>
          <w:kern w:val="0"/>
          <w:sz w:val="32"/>
          <w:szCs w:val="32"/>
        </w:rPr>
      </w:pP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第三十五条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17272A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本指引</w:t>
      </w:r>
      <w:r w:rsidRPr="009A3D76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>中的以上包括本数。</w:t>
      </w:r>
    </w:p>
    <w:p w:rsidR="00604950" w:rsidRPr="009A3D76" w:rsidRDefault="00604950" w:rsidP="007C61BF">
      <w:pPr>
        <w:snapToGrid w:val="0"/>
        <w:spacing w:line="600" w:lineRule="exact"/>
        <w:ind w:firstLineChars="200" w:firstLine="640"/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第三十六条</w:t>
      </w:r>
      <w:r w:rsidR="009A3D76"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 xml:space="preserve"> </w:t>
      </w:r>
      <w:r w:rsidR="007C61BF">
        <w:rPr>
          <w:rFonts w:ascii="方正仿宋_GBK" w:eastAsia="方正仿宋_GBK" w:hAnsiTheme="minorEastAsia" w:cs="宋体"/>
          <w:color w:val="000000"/>
          <w:kern w:val="0"/>
          <w:sz w:val="32"/>
          <w:szCs w:val="32"/>
        </w:rPr>
        <w:t xml:space="preserve"> </w:t>
      </w: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市财政局对</w:t>
      </w:r>
      <w:r w:rsidRPr="009A3D76">
        <w:rPr>
          <w:rFonts w:ascii="Times New Roman" w:eastAsia="方正仿宋_GBK" w:hAnsi="Times New Roman"/>
          <w:sz w:val="32"/>
          <w:szCs w:val="32"/>
        </w:rPr>
        <w:t>政府债券资金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投资</w:t>
      </w:r>
      <w:r w:rsidRPr="009A3D76">
        <w:rPr>
          <w:rFonts w:ascii="Times New Roman" w:eastAsia="方正仿宋_GBK" w:hAnsi="Times New Roman"/>
          <w:sz w:val="32"/>
          <w:szCs w:val="32"/>
        </w:rPr>
        <w:t>或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参与</w:t>
      </w:r>
      <w:r w:rsidRPr="009A3D76">
        <w:rPr>
          <w:rFonts w:ascii="Times New Roman" w:eastAsia="方正仿宋_GBK" w:hAnsi="Times New Roman"/>
          <w:sz w:val="32"/>
          <w:szCs w:val="32"/>
        </w:rPr>
        <w:t>投资的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项目支出绩效的</w:t>
      </w:r>
      <w:r w:rsidRPr="009A3D76">
        <w:rPr>
          <w:rFonts w:ascii="Times New Roman" w:eastAsia="方正仿宋_GBK" w:hAnsi="Times New Roman"/>
          <w:sz w:val="32"/>
          <w:szCs w:val="32"/>
        </w:rPr>
        <w:t>评价</w:t>
      </w:r>
      <w:r w:rsidR="002B5F6B">
        <w:rPr>
          <w:rFonts w:ascii="Times New Roman" w:eastAsia="方正仿宋_GBK" w:hAnsi="Times New Roman" w:hint="eastAsia"/>
          <w:sz w:val="32"/>
          <w:szCs w:val="32"/>
        </w:rPr>
        <w:t>，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参</w:t>
      </w:r>
      <w:r w:rsidRPr="009A3D76">
        <w:rPr>
          <w:rFonts w:ascii="Times New Roman" w:eastAsia="方正仿宋_GBK" w:hAnsi="Times New Roman"/>
          <w:sz w:val="32"/>
          <w:szCs w:val="32"/>
        </w:rPr>
        <w:t>照本</w:t>
      </w:r>
      <w:r w:rsidRPr="009A3D76">
        <w:rPr>
          <w:rFonts w:ascii="Times New Roman" w:eastAsia="方正仿宋_GBK" w:hAnsi="Times New Roman" w:hint="eastAsia"/>
          <w:sz w:val="32"/>
          <w:szCs w:val="32"/>
        </w:rPr>
        <w:t>指引执行。</w:t>
      </w:r>
    </w:p>
    <w:p w:rsidR="00604950" w:rsidRPr="009A3D76" w:rsidRDefault="00604950" w:rsidP="00604950">
      <w:pPr>
        <w:widowControl/>
        <w:adjustRightInd w:val="0"/>
        <w:snapToGrid w:val="0"/>
        <w:spacing w:line="580" w:lineRule="atLeast"/>
        <w:ind w:firstLineChars="200" w:firstLine="640"/>
        <w:jc w:val="left"/>
        <w:outlineLvl w:val="2"/>
        <w:rPr>
          <w:rFonts w:ascii="Times New Roman" w:eastAsia="方正仿宋_GBK" w:hAnsi="Times New Roman" w:cs="Times New Roman"/>
          <w:sz w:val="32"/>
          <w:szCs w:val="32"/>
        </w:rPr>
      </w:pPr>
      <w:r w:rsidRPr="009A3D76">
        <w:rPr>
          <w:rFonts w:ascii="方正仿宋_GBK" w:eastAsia="方正仿宋_GBK" w:hAnsiTheme="minorEastAsia" w:cs="宋体" w:hint="eastAsia"/>
          <w:color w:val="000000"/>
          <w:kern w:val="0"/>
          <w:sz w:val="32"/>
          <w:szCs w:val="32"/>
        </w:rPr>
        <w:t>第三十七条</w:t>
      </w:r>
      <w:r w:rsidR="009A3D76" w:rsidRPr="009A3D76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17272A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7C61BF">
        <w:rPr>
          <w:rFonts w:ascii="Times New Roman" w:eastAsia="方正仿宋_GBK" w:hAnsi="Times New Roman" w:cs="Times New Roman" w:hint="eastAsia"/>
          <w:sz w:val="32"/>
          <w:szCs w:val="32"/>
        </w:rPr>
        <w:t>本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指引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自</w:t>
      </w:r>
      <w:r w:rsidRPr="009A3D76">
        <w:rPr>
          <w:rFonts w:ascii="Times New Roman" w:eastAsia="方正仿宋_GBK" w:hAnsi="Times New Roman" w:cs="Times New Roman" w:hint="eastAsia"/>
          <w:sz w:val="32"/>
          <w:szCs w:val="32"/>
        </w:rPr>
        <w:t>印发之日</w:t>
      </w:r>
      <w:r w:rsidRPr="009A3D76">
        <w:rPr>
          <w:rFonts w:ascii="Times New Roman" w:eastAsia="方正仿宋_GBK" w:hAnsi="Times New Roman" w:cs="Times New Roman"/>
          <w:sz w:val="32"/>
          <w:szCs w:val="32"/>
        </w:rPr>
        <w:t>起施行。</w:t>
      </w:r>
    </w:p>
    <w:p w:rsidR="001B6052" w:rsidRPr="009A3D76" w:rsidRDefault="001B6052"/>
    <w:sectPr w:rsidR="001B6052" w:rsidRPr="009A3D76" w:rsidSect="009A3D76"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A0" w:rsidRDefault="00321FA0" w:rsidP="001B524F">
      <w:r>
        <w:separator/>
      </w:r>
    </w:p>
  </w:endnote>
  <w:endnote w:type="continuationSeparator" w:id="0">
    <w:p w:rsidR="00321FA0" w:rsidRDefault="00321FA0" w:rsidP="001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A0" w:rsidRDefault="00321FA0" w:rsidP="001B524F">
      <w:r>
        <w:separator/>
      </w:r>
    </w:p>
  </w:footnote>
  <w:footnote w:type="continuationSeparator" w:id="0">
    <w:p w:rsidR="00321FA0" w:rsidRDefault="00321FA0" w:rsidP="001B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4231"/>
    <w:multiLevelType w:val="hybridMultilevel"/>
    <w:tmpl w:val="30F696C2"/>
    <w:lvl w:ilvl="0" w:tplc="2954C7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1883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98B2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8867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CE5B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5C46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3AE2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4004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925A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0"/>
    <w:rsid w:val="0017272A"/>
    <w:rsid w:val="001B524F"/>
    <w:rsid w:val="001B6052"/>
    <w:rsid w:val="002B5F6B"/>
    <w:rsid w:val="00321FA0"/>
    <w:rsid w:val="003F5964"/>
    <w:rsid w:val="00510820"/>
    <w:rsid w:val="00511C6C"/>
    <w:rsid w:val="00604950"/>
    <w:rsid w:val="00696345"/>
    <w:rsid w:val="006E3DBC"/>
    <w:rsid w:val="006F5E92"/>
    <w:rsid w:val="00702F33"/>
    <w:rsid w:val="007C61BF"/>
    <w:rsid w:val="008D0C02"/>
    <w:rsid w:val="009A3D76"/>
    <w:rsid w:val="00F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36972-D89A-4B32-B8E1-F578CED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5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0495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0495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0495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0495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0495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049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95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04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0495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0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04950"/>
    <w:rPr>
      <w:sz w:val="18"/>
      <w:szCs w:val="18"/>
    </w:rPr>
  </w:style>
  <w:style w:type="character" w:styleId="aa">
    <w:name w:val="Hyperlink"/>
    <w:basedOn w:val="a0"/>
    <w:uiPriority w:val="99"/>
    <w:unhideWhenUsed/>
    <w:rsid w:val="00604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687</Words>
  <Characters>3921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金燕</dc:creator>
  <cp:keywords/>
  <dc:description/>
  <cp:lastModifiedBy>金燕</cp:lastModifiedBy>
  <cp:revision>8</cp:revision>
  <dcterms:created xsi:type="dcterms:W3CDTF">2023-03-30T04:04:00Z</dcterms:created>
  <dcterms:modified xsi:type="dcterms:W3CDTF">2023-03-30T06:07:00Z</dcterms:modified>
</cp:coreProperties>
</file>