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ascii="Times New Roman" w:hAnsi="Times New Roman" w:eastAsia="方正小标宋_GBK" w:cs="Times New Roman"/>
          <w:sz w:val="44"/>
          <w:szCs w:val="20"/>
        </w:rPr>
      </w:pPr>
    </w:p>
    <w:p>
      <w:pPr>
        <w:spacing w:line="550" w:lineRule="exact"/>
        <w:jc w:val="center"/>
        <w:rPr>
          <w:rFonts w:ascii="Times New Roman" w:hAnsi="Times New Roman" w:eastAsia="方正小标宋_GBK" w:cs="Times New Roman"/>
          <w:sz w:val="44"/>
          <w:szCs w:val="20"/>
        </w:rPr>
      </w:pPr>
    </w:p>
    <w:p>
      <w:pPr>
        <w:spacing w:line="578" w:lineRule="exact"/>
        <w:jc w:val="center"/>
        <w:rPr>
          <w:rFonts w:hint="eastAsia" w:eastAsia="方正小标宋_GBK"/>
          <w:sz w:val="44"/>
          <w:szCs w:val="44"/>
        </w:rPr>
      </w:pPr>
      <w:r>
        <w:rPr>
          <w:rFonts w:hint="eastAsia" w:eastAsia="方正小标宋_GBK"/>
          <w:sz w:val="44"/>
          <w:szCs w:val="44"/>
        </w:rPr>
        <w:t>重庆市财政局</w:t>
      </w:r>
      <w:r>
        <w:rPr>
          <w:rFonts w:hint="eastAsia" w:eastAsia="方正小标宋_GBK"/>
          <w:sz w:val="44"/>
        </w:rPr>
        <w:t>关于印发</w:t>
      </w:r>
      <w:r>
        <w:rPr>
          <w:rFonts w:eastAsia="方正小标宋_GBK"/>
          <w:sz w:val="44"/>
        </w:rPr>
        <w:t>《</w:t>
      </w:r>
      <w:r>
        <w:rPr>
          <w:rFonts w:hint="eastAsia" w:eastAsia="方正小标宋_GBK"/>
          <w:sz w:val="44"/>
        </w:rPr>
        <w:t>进一步发挥政府性融资担保作用助力市场主体纾困发展若干</w:t>
      </w:r>
      <w:r>
        <w:rPr>
          <w:rFonts w:eastAsia="方正小标宋_GBK"/>
          <w:sz w:val="44"/>
        </w:rPr>
        <w:t>措施</w:t>
      </w:r>
      <w:r>
        <w:rPr>
          <w:rFonts w:hint="eastAsia" w:eastAsia="方正小标宋_GBK"/>
          <w:sz w:val="44"/>
        </w:rPr>
        <w:t>》的</w:t>
      </w:r>
      <w:r>
        <w:rPr>
          <w:rFonts w:eastAsia="方正小标宋_GBK"/>
          <w:sz w:val="44"/>
        </w:rPr>
        <w:t>通知</w:t>
      </w:r>
    </w:p>
    <w:p>
      <w:pPr>
        <w:spacing w:line="600" w:lineRule="atLeast"/>
        <w:jc w:val="center"/>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渝财</w:t>
      </w:r>
      <w:r>
        <w:rPr>
          <w:rFonts w:hint="eastAsia" w:ascii="Times New Roman" w:hAnsi="Times New Roman" w:eastAsia="方正仿宋_GBK" w:cs="Times New Roman"/>
          <w:sz w:val="32"/>
          <w:szCs w:val="20"/>
          <w:lang w:val="en-US" w:eastAsia="zh-CN"/>
        </w:rPr>
        <w:t>规</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20"/>
        </w:rPr>
        <w:t>〕</w:t>
      </w:r>
      <w:r>
        <w:rPr>
          <w:rFonts w:hint="eastAsia" w:ascii="Times New Roman" w:hAnsi="Times New Roman" w:eastAsia="方正仿宋_GBK" w:cs="Times New Roman"/>
          <w:sz w:val="32"/>
          <w:szCs w:val="32"/>
        </w:rPr>
        <w:t>1</w:t>
      </w:r>
      <w:r>
        <w:rPr>
          <w:rFonts w:hint="eastAsia" w:ascii="Times New Roman" w:hAnsi="Times New Roman" w:eastAsia="方正仿宋_GBK" w:cs="Times New Roman"/>
          <w:sz w:val="32"/>
          <w:szCs w:val="20"/>
        </w:rPr>
        <w:t>号</w:t>
      </w:r>
    </w:p>
    <w:p>
      <w:pPr>
        <w:spacing w:line="600" w:lineRule="atLeast"/>
        <w:rPr>
          <w:rFonts w:ascii="Times New Roman" w:hAnsi="Times New Roman" w:eastAsia="方正仿宋_GBK" w:cs="Times New Roman"/>
          <w:sz w:val="32"/>
          <w:szCs w:val="20"/>
        </w:rPr>
      </w:pPr>
    </w:p>
    <w:p>
      <w:pPr>
        <w:spacing w:line="60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各区县（自治县，含两江新区、西部科学城重庆高新区、万盛经开区）财政局，有关金融机构：</w:t>
      </w:r>
    </w:p>
    <w:p>
      <w:pPr>
        <w:spacing w:line="600" w:lineRule="atLeas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　　</w:t>
      </w:r>
      <w:r>
        <w:rPr>
          <w:rFonts w:hint="eastAsia" w:ascii="方正仿宋_GBK" w:hAnsi="方正仿宋_GBK" w:eastAsia="方正仿宋_GBK" w:cs="方正仿宋_GBK"/>
          <w:sz w:val="32"/>
          <w:szCs w:val="32"/>
        </w:rPr>
        <w:t>为贯彻落实《关于加强财政金融联动支持实体经济发展的通知》（渝府办发〔2022〕81号）要求，加快推进政府性融资担保体系建设，引导政府性融资担保机构聚焦主业、增量扩面、降本增效，助力提信心、稳增长、强主体，力争全年新增小微企业和“三农”主体融资担保业务规模超过250亿元，特制定《进一步发挥政府性融资担保作用 助力市场主体纾困发展若干措施》（以下简称《若干措施》）。按照工作安排，现将《若干措施》印发给你们，请遵照执行。</w:t>
      </w:r>
    </w:p>
    <w:p>
      <w:pPr>
        <w:spacing w:line="600" w:lineRule="atLeast"/>
        <w:rPr>
          <w:rFonts w:hint="eastAsia" w:ascii="方正仿宋_GBK" w:hAnsi="方正仿宋_GBK" w:eastAsia="方正仿宋_GBK" w:cs="方正仿宋_GBK"/>
          <w:sz w:val="32"/>
          <w:szCs w:val="32"/>
        </w:rPr>
      </w:pPr>
    </w:p>
    <w:p>
      <w:pPr>
        <w:wordWrap w:val="0"/>
        <w:spacing w:line="600" w:lineRule="atLeast"/>
        <w:ind w:firstLine="640" w:firstLineChars="200"/>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重庆市财政局</w:t>
      </w:r>
      <w:r>
        <w:rPr>
          <w:rFonts w:hint="eastAsia" w:ascii="方正仿宋_GBK" w:hAnsi="方正仿宋_GBK" w:eastAsia="方正仿宋_GBK" w:cs="方正仿宋_GBK"/>
          <w:sz w:val="32"/>
          <w:szCs w:val="32"/>
          <w:lang w:eastAsia="zh-CN"/>
        </w:rPr>
        <w:t>　　　　　</w:t>
      </w:r>
    </w:p>
    <w:p>
      <w:pPr>
        <w:wordWrap w:val="0"/>
        <w:spacing w:line="600" w:lineRule="atLeast"/>
        <w:ind w:firstLine="640" w:firstLineChars="200"/>
        <w:jc w:val="righ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2023年1月1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eastAsia="zh-CN"/>
        </w:rPr>
        <w:t>　　　　</w:t>
      </w:r>
    </w:p>
    <w:p>
      <w:pPr>
        <w:spacing w:line="600" w:lineRule="atLeas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（此件主动公开）</w:t>
      </w:r>
    </w:p>
    <w:p>
      <w:pPr>
        <w:spacing w:line="600" w:lineRule="atLeast"/>
        <w:ind w:firstLine="640" w:firstLineChars="200"/>
        <w:rPr>
          <w:rFonts w:hint="eastAsia" w:ascii="方正仿宋_GBK" w:hAnsi="方正仿宋_GBK" w:eastAsia="方正仿宋_GBK" w:cs="方正仿宋_GBK"/>
          <w:sz w:val="32"/>
          <w:szCs w:val="32"/>
        </w:rPr>
      </w:pPr>
    </w:p>
    <w:p>
      <w:pPr>
        <w:spacing w:line="600" w:lineRule="atLeast"/>
        <w:ind w:firstLine="640" w:firstLineChars="200"/>
        <w:rPr>
          <w:rFonts w:hint="eastAsia" w:ascii="方正仿宋_GBK" w:hAnsi="方正仿宋_GBK" w:eastAsia="方正仿宋_GBK" w:cs="方正仿宋_GBK"/>
          <w:sz w:val="32"/>
          <w:szCs w:val="32"/>
        </w:rPr>
      </w:pPr>
    </w:p>
    <w:p>
      <w:pPr>
        <w:spacing w:line="578" w:lineRule="exact"/>
        <w:jc w:val="center"/>
        <w:rPr>
          <w:rFonts w:eastAsia="方正小标宋_GBK"/>
          <w:sz w:val="44"/>
        </w:rPr>
      </w:pPr>
      <w:r>
        <w:rPr>
          <w:rFonts w:hint="eastAsia" w:eastAsia="方正小标宋_GBK"/>
          <w:sz w:val="44"/>
        </w:rPr>
        <w:t>进一步发挥政府性融资担保作用</w:t>
      </w:r>
      <w:bookmarkStart w:id="0" w:name="_GoBack"/>
      <w:bookmarkEnd w:id="0"/>
    </w:p>
    <w:p>
      <w:pPr>
        <w:spacing w:line="578" w:lineRule="exact"/>
        <w:jc w:val="center"/>
      </w:pPr>
      <w:r>
        <w:rPr>
          <w:rFonts w:hint="eastAsia" w:eastAsia="方正小标宋_GBK"/>
          <w:sz w:val="44"/>
        </w:rPr>
        <w:t>助力市场主体纾困发展若干</w:t>
      </w:r>
      <w:r>
        <w:rPr>
          <w:rFonts w:eastAsia="方正小标宋_GBK"/>
          <w:sz w:val="44"/>
        </w:rPr>
        <w:t>措施</w:t>
      </w:r>
    </w:p>
    <w:p>
      <w:pPr>
        <w:spacing w:line="578" w:lineRule="exact"/>
        <w:jc w:val="center"/>
        <w:rPr>
          <w:rFonts w:hint="eastAsia" w:eastAsia="方正小标宋_GBK"/>
          <w:sz w:val="44"/>
          <w:szCs w:val="44"/>
        </w:rPr>
      </w:pPr>
    </w:p>
    <w:p>
      <w:pPr>
        <w:spacing w:line="578" w:lineRule="exact"/>
        <w:ind w:firstLine="640" w:firstLineChars="200"/>
        <w:rPr>
          <w:rFonts w:eastAsia="方正黑体_GBK"/>
          <w:sz w:val="32"/>
          <w:szCs w:val="32"/>
        </w:rPr>
      </w:pPr>
      <w:r>
        <w:rPr>
          <w:rFonts w:hint="eastAsia" w:eastAsia="方正黑体_GBK"/>
          <w:sz w:val="32"/>
          <w:szCs w:val="32"/>
        </w:rPr>
        <w:t>一、扩大政府性融资担保业务规模</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一）支持政府性融资担保业务增量扩面。一是实施以奖代补。对扩大业务规模突出、政策效益显著的担保机构，按绩效评价结果分档予以100万元、50万元、20万元奖励。二是优化风险补偿政策，健全政银担分险机制，市级财政对相关业务按比例予以风险补偿；加大重点领域支持，对符合条件的专精特新、战略性新兴产业等融资担保业务，单户上限提高至3000万元。</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二）深化与国家融资担保基金合作。加强市级再担保机构与国家融资担保基金合作，疏通中央、市级、区县三级联动机制。延续实施再担保费阶段性补贴政策，对2023年6月30日前纳入国家融资担保基金授信范围内的融资担保业务，市级财政对再担保费给予全额补助。加强银担“总对总”业务合作，扩大“总对总”业务在全市的覆盖面。</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三）支持普惠金融发展示范区创建。对辖内政府性融资担保机构支小支农成效突出、新增支小支农担保金额占比不低于80%、平均融资担保费率低于1%的区县，优先纳入下一年度财政支持普惠金融发展示范区创建。财政分档给予示范区2500—4500万元资金支持，支持示范区统筹用于政府性融资担保机构资本金补充、担保费补贴、风险补偿、贷款贴息等。</w:t>
      </w:r>
    </w:p>
    <w:p>
      <w:pPr>
        <w:spacing w:line="578" w:lineRule="exact"/>
        <w:ind w:firstLine="640" w:firstLineChars="200"/>
        <w:rPr>
          <w:rFonts w:hint="eastAsia" w:eastAsia="方正黑体_GBK"/>
          <w:sz w:val="32"/>
          <w:szCs w:val="32"/>
        </w:rPr>
      </w:pPr>
      <w:r>
        <w:rPr>
          <w:rFonts w:hint="eastAsia" w:eastAsia="方正黑体_GBK"/>
          <w:sz w:val="32"/>
          <w:szCs w:val="32"/>
        </w:rPr>
        <w:t>二、降低政府性融资担保成本</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四）实施融资担保降费奖补政策。引导担保机构降低费率，对单户1000万元以下的支小支农融资担保业务，分档给予1%—1.3%担保费补贴。加大对贷款规模较小、政策性占比较高、担保费率较低的担保业务补贴力度，对新发生单户500万元以下支小支农业务占比达到50%的给予2‰奖补；对新增首次贷款业务的给予2‰奖补；对担保费率低于1%的给予2‰奖补。</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五）加大创业创新主体支持力度。支持担保机构为符合条件的个人、小微企业提供最高额度分别为20万元、300万元的创业担保贷款，财政最高给予4％贴息。延续实施阶段性小微企业贷款贴息政策，对2023年未达新增就业岗位15％（超过100人的企业未达到8％），但当年实现稳定就业岗位95％以上小微企业的创业担保贷款，市级财政给予不超过1％的贴息支持。</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六）降低融资担保收费水平。发挥市级政府性融资担保机构带动作用，对符合条件的创业担保贷款免收担保费，对今年新发生的政策性农担业务、小微担保业务融资担保费率原则上平均不超过0.8%。鼓励区县政府性融资担保机构在可持续发展前提下，降低融资担保费率，力争将担保费率逐步下降至1%；对平均担保费率超过1%的，2023年收费水平应较2022年有所下降。</w:t>
      </w:r>
    </w:p>
    <w:p>
      <w:pPr>
        <w:spacing w:line="578" w:lineRule="exact"/>
        <w:ind w:firstLine="640" w:firstLineChars="200"/>
        <w:rPr>
          <w:rFonts w:hint="eastAsia" w:eastAsia="方正黑体_GBK"/>
          <w:sz w:val="32"/>
          <w:szCs w:val="32"/>
        </w:rPr>
      </w:pPr>
      <w:r>
        <w:rPr>
          <w:rFonts w:hint="eastAsia" w:eastAsia="方正黑体_GBK"/>
          <w:sz w:val="32"/>
          <w:szCs w:val="32"/>
        </w:rPr>
        <w:t>三、提升政府性融资担保机构服务能力</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七）推进数字化平台建设。依托国家融资担保基金直担SaaS系统试点，市级再担保机构牵头推进政府性融资担保机构数字化管理平台建设及运用，个性化设置功能模块和业务流程，归集涉企信息数据和体系内担保数据，实现担保业务管理、政策信息传导、风险管理控制等智能化运用，提高政府性融资担保机构服务效率。</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八）提升融资担保服务质效。鼓励政府性融资担保机构常态化开展“进园区、进楼宇、进企业、进农户”助企纾困专项行动，下沉担保服务，拓展获客渠道，主动送产品、送政策。鼓励政府性融资担保机构进驻“1+5+N”民营小微企业和个体工商户金融服务港湾等平台，用好“长江渝融通”、“信易贷·渝惠融”、“渝企金服”、“渝快融”，扩大融资覆盖面，提升融资便利度。</w:t>
      </w:r>
    </w:p>
    <w:p>
      <w:pPr>
        <w:spacing w:line="578" w:lineRule="exact"/>
        <w:ind w:firstLine="640" w:firstLineChars="200"/>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九）提高担保机构治理水平。市级再担保机构要充分发挥引领带动作用，在公司治理、业务标准、风险控制、操作规范、人才培训等方面对区县机构提供支持，常态化开展体系成员专题培训，打造专业化人才队伍。区县机构要加强制度建设，健全公司治理机制，完善担保业务标准和操作规范，强化资本和偿付能力管理，提高风险承载能力。</w:t>
      </w:r>
    </w:p>
    <w:p>
      <w:pPr>
        <w:spacing w:line="578" w:lineRule="exact"/>
        <w:ind w:firstLine="640" w:firstLineChars="200"/>
        <w:rPr>
          <w:rFonts w:hint="eastAsia" w:ascii="Times New Roman" w:hAnsi="Times New Roman" w:eastAsia="方正仿宋_GBK" w:cs="Times New Roman"/>
          <w:sz w:val="32"/>
          <w:szCs w:val="20"/>
        </w:rPr>
      </w:pPr>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1MGQyMTViZmVmMjg5MWQ5ZjQ0NWIxMGY5ODg0ZDUifQ=="/>
  </w:docVars>
  <w:rsids>
    <w:rsidRoot w:val="00172A27"/>
    <w:rsid w:val="000374CD"/>
    <w:rsid w:val="0011491C"/>
    <w:rsid w:val="00172A27"/>
    <w:rsid w:val="00294238"/>
    <w:rsid w:val="00634972"/>
    <w:rsid w:val="00641A06"/>
    <w:rsid w:val="00687E85"/>
    <w:rsid w:val="00820EF8"/>
    <w:rsid w:val="008449CD"/>
    <w:rsid w:val="009B75DA"/>
    <w:rsid w:val="00A6446A"/>
    <w:rsid w:val="00E27E21"/>
    <w:rsid w:val="00E6412E"/>
    <w:rsid w:val="00F36C28"/>
    <w:rsid w:val="00FB69E8"/>
    <w:rsid w:val="019E71BD"/>
    <w:rsid w:val="041C42DA"/>
    <w:rsid w:val="04B679C3"/>
    <w:rsid w:val="05F07036"/>
    <w:rsid w:val="06E00104"/>
    <w:rsid w:val="080F63D8"/>
    <w:rsid w:val="09341458"/>
    <w:rsid w:val="098254C2"/>
    <w:rsid w:val="0A766EDE"/>
    <w:rsid w:val="0AD64BE8"/>
    <w:rsid w:val="0AF344E1"/>
    <w:rsid w:val="0B0912D7"/>
    <w:rsid w:val="0C533B59"/>
    <w:rsid w:val="0E025194"/>
    <w:rsid w:val="10CE177B"/>
    <w:rsid w:val="152D2DCA"/>
    <w:rsid w:val="1542409B"/>
    <w:rsid w:val="17740CDB"/>
    <w:rsid w:val="187168EA"/>
    <w:rsid w:val="196673CA"/>
    <w:rsid w:val="1A7E2D2E"/>
    <w:rsid w:val="1B2F4AEE"/>
    <w:rsid w:val="1CF734C9"/>
    <w:rsid w:val="1DEC284C"/>
    <w:rsid w:val="1E6523AC"/>
    <w:rsid w:val="20CD6572"/>
    <w:rsid w:val="22440422"/>
    <w:rsid w:val="22BB4BBB"/>
    <w:rsid w:val="2AEB3417"/>
    <w:rsid w:val="31A15F24"/>
    <w:rsid w:val="324A1681"/>
    <w:rsid w:val="36FB1DF0"/>
    <w:rsid w:val="395347B5"/>
    <w:rsid w:val="39A232A0"/>
    <w:rsid w:val="39E745AA"/>
    <w:rsid w:val="3B5A6BBB"/>
    <w:rsid w:val="3EDA13A6"/>
    <w:rsid w:val="417B75E9"/>
    <w:rsid w:val="42F058B7"/>
    <w:rsid w:val="436109F6"/>
    <w:rsid w:val="440F6F8F"/>
    <w:rsid w:val="441A38D4"/>
    <w:rsid w:val="4504239D"/>
    <w:rsid w:val="45DB7FCA"/>
    <w:rsid w:val="46306ED8"/>
    <w:rsid w:val="4BC77339"/>
    <w:rsid w:val="4C9236C5"/>
    <w:rsid w:val="4E250A85"/>
    <w:rsid w:val="4FFD4925"/>
    <w:rsid w:val="50556F0A"/>
    <w:rsid w:val="505C172E"/>
    <w:rsid w:val="506405EA"/>
    <w:rsid w:val="52F46F0B"/>
    <w:rsid w:val="532B6A10"/>
    <w:rsid w:val="53D8014D"/>
    <w:rsid w:val="55E064E0"/>
    <w:rsid w:val="56F45D33"/>
    <w:rsid w:val="572C6D10"/>
    <w:rsid w:val="5DC34279"/>
    <w:rsid w:val="5FCD688E"/>
    <w:rsid w:val="5FF9BDAA"/>
    <w:rsid w:val="5FFE5333"/>
    <w:rsid w:val="608816D1"/>
    <w:rsid w:val="60E16CF5"/>
    <w:rsid w:val="60EF4E7F"/>
    <w:rsid w:val="640B7E04"/>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1788</Words>
  <Characters>1861</Characters>
  <Lines>2</Lines>
  <Paragraphs>6</Paragraphs>
  <TotalTime>6</TotalTime>
  <ScaleCrop>false</ScaleCrop>
  <LinksUpToDate>false</LinksUpToDate>
  <CharactersWithSpaces>1873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2023-01-28T08:30:10Z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