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32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关于启用新版非税收入一般缴款书的通知</w:t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渝财非税〔2014〕10号</w:t>
      </w:r>
    </w:p>
    <w:p>
      <w:pPr>
        <w:spacing w:line="600" w:lineRule="exact"/>
        <w:rPr>
          <w:rFonts w:hint="eastAsia" w:ascii="Times New Roman" w:hAnsi="Times New Roman" w:eastAsia="方正仿宋_GBK"/>
          <w:sz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各区县（自治县）财政局，有关市级部门，人民银行各中心支行，各商业银行，商业银行各代理支库：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根据《财政票据管理办法》（财政部令第70号）、《关于推进财政票据电子化改革的方案》（财综〔2012〕104号）和市财政局《关于财政票据电子化暨非税收入收缴管理系统试点工作的通知》（渝财非税〔2014〕8号）等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</w:rPr>
        <w:t>文件，我市开始实施财政票据电子化改革，同时启用新版《非税收入一般缴款书》（以下简称“新缴款书”）。现将有关事宜通知如下：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一、新缴款书增加缴款确认码、票面信息校验码、预算单位编码、预算科目编码、财政机关、预算级次、收款国库等要素，支持银行转账、现金缴款和刷卡缴款等多种缴款方式，具备数据防伪措施。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二、新缴款书一式五联（详见附件）。第一联是回单，由银行办理收款业务后，加盖现金收讫章或转讫章，退付款人或执收单位；第二联是借方凭证，由付款人开户银行留存；第三联是贷方凭证，由收款人开户银行留存；第四联是收据，由付款人收执 作记账和缴款依据；第五联存根，由执收单位留存。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三、新缴款书仅适用于财政票据电子化暨非税收入收缴管理系统。原非税收入收缴管理系统仍按照市财政局、人行重庆营管部《关于非税收入一般缴款书使用规定的通知》（渝财综〔2003〕97号）文件继续使用旧版《非税收入一般缴款书》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四、新缴款书是向财政专户或国库缴纳非税收入的专用缴款凭证，各商业银行不得拒收或拒付。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附件：新版非税收入一般缴款书式样及说明</w:t>
      </w:r>
    </w:p>
    <w:p>
      <w:pPr>
        <w:spacing w:line="600" w:lineRule="exact"/>
        <w:rPr>
          <w:rFonts w:ascii="Times New Roman" w:hAnsi="Times New Roman" w:eastAsia="方正仿宋_GBK"/>
          <w:sz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32"/>
        </w:rPr>
      </w:pPr>
    </w:p>
    <w:p>
      <w:pPr>
        <w:spacing w:line="600" w:lineRule="exact"/>
        <w:ind w:firstLine="800" w:firstLineChars="25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重庆市财政局          中国人民银行重庆营业管理部</w:t>
      </w:r>
    </w:p>
    <w:p>
      <w:pPr>
        <w:spacing w:line="600" w:lineRule="exact"/>
        <w:ind w:firstLine="5280" w:firstLineChars="165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2014年9月5日</w:t>
      </w:r>
    </w:p>
    <w:p>
      <w:pPr>
        <w:spacing w:line="600" w:lineRule="exact"/>
        <w:rPr>
          <w:rFonts w:hint="eastAsia" w:ascii="Times New Roman" w:hAnsi="Times New Roman" w:eastAsia="方正仿宋_GBK"/>
          <w:sz w:val="32"/>
        </w:rPr>
      </w:pPr>
    </w:p>
    <w:p>
      <w:pPr>
        <w:spacing w:line="6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-454025</wp:posOffset>
            </wp:positionV>
            <wp:extent cx="5352415" cy="2653665"/>
            <wp:effectExtent l="0" t="0" r="635" b="0"/>
            <wp:wrapNone/>
            <wp:docPr id="9" name="图片 9" descr="第一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第一联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153670</wp:posOffset>
            </wp:positionV>
            <wp:extent cx="5353050" cy="2653665"/>
            <wp:effectExtent l="0" t="0" r="0" b="0"/>
            <wp:wrapNone/>
            <wp:docPr id="7" name="图片 7" descr="第二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第二联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374650</wp:posOffset>
            </wp:positionV>
            <wp:extent cx="5353050" cy="2653665"/>
            <wp:effectExtent l="0" t="0" r="0" b="0"/>
            <wp:wrapNone/>
            <wp:docPr id="3" name="图片 3" descr="第三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三联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137160</wp:posOffset>
            </wp:positionV>
            <wp:extent cx="5522595" cy="2653030"/>
            <wp:effectExtent l="0" t="0" r="1905" b="0"/>
            <wp:wrapNone/>
            <wp:docPr id="2" name="图片 2" descr="第四联（无底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四联（无底纹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117475</wp:posOffset>
            </wp:positionV>
            <wp:extent cx="5353050" cy="2653665"/>
            <wp:effectExtent l="0" t="0" r="0" b="0"/>
            <wp:wrapNone/>
            <wp:docPr id="1" name="图片 1" descr="第五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五联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说明：尺寸大小为205毫米×101.6毫米。</w:t>
      </w:r>
    </w:p>
    <w:p>
      <w:pPr>
        <w:pStyle w:val="6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Times New Roman" w:hAnsi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重庆市财政局行政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NGNmZTZkNzhjOTJhYWRiMzJiNGMyMGY2MzM3YzkifQ=="/>
  </w:docVars>
  <w:rsids>
    <w:rsidRoot w:val="00172A27"/>
    <w:rsid w:val="00172A27"/>
    <w:rsid w:val="006114C8"/>
    <w:rsid w:val="00687E85"/>
    <w:rsid w:val="008449CD"/>
    <w:rsid w:val="00933A40"/>
    <w:rsid w:val="009B75DA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1A31B3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654</Words>
  <Characters>680</Characters>
  <Lines>5</Lines>
  <Paragraphs>1</Paragraphs>
  <TotalTime>2</TotalTime>
  <ScaleCrop>false</ScaleCrop>
  <LinksUpToDate>false</LinksUpToDate>
  <CharactersWithSpaces>691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悠</cp:lastModifiedBy>
  <cp:lastPrinted>2022-05-12T00:46:00Z</cp:lastPrinted>
  <dcterms:modified xsi:type="dcterms:W3CDTF">2022-06-20T06:24:55Z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