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重庆市财政局关于印发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《重庆市政府采购评审专家考核实施细则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（试行）》的通知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sz w:val="32"/>
          <w:szCs w:val="20"/>
        </w:rPr>
      </w:pPr>
      <w:bookmarkStart w:id="0" w:name="字"/>
      <w:bookmarkStart w:id="1" w:name="局文号"/>
      <w:r>
        <w:rPr>
          <w:rFonts w:hint="default" w:ascii="Times New Roman" w:hAnsi="Times New Roman" w:eastAsia="方正仿宋_GBK" w:cs="Times New Roman"/>
          <w:sz w:val="32"/>
          <w:szCs w:val="20"/>
        </w:rPr>
        <w:t>渝财规</w:t>
      </w:r>
      <w:bookmarkEnd w:id="0"/>
      <w:r>
        <w:rPr>
          <w:rFonts w:hint="default" w:ascii="Times New Roman" w:hAnsi="Times New Roman" w:eastAsia="方正仿宋_GBK" w:cs="Times New Roman"/>
          <w:sz w:val="32"/>
          <w:szCs w:val="20"/>
        </w:rPr>
        <w:t>〔</w:t>
      </w:r>
      <w:bookmarkStart w:id="2" w:name="年"/>
      <w:r>
        <w:rPr>
          <w:rFonts w:hint="default" w:ascii="Times New Roman" w:hAnsi="Times New Roman" w:eastAsia="方正仿宋_GBK" w:cs="Times New Roman"/>
          <w:sz w:val="32"/>
          <w:szCs w:val="20"/>
        </w:rPr>
        <w:t>2020</w:t>
      </w:r>
      <w:bookmarkEnd w:id="2"/>
      <w:r>
        <w:rPr>
          <w:rFonts w:hint="default" w:ascii="Times New Roman" w:hAnsi="Times New Roman" w:eastAsia="方正仿宋_GBK" w:cs="Times New Roman"/>
          <w:sz w:val="32"/>
          <w:szCs w:val="20"/>
        </w:rPr>
        <w:t>〕</w:t>
      </w:r>
      <w:bookmarkStart w:id="3" w:name="号"/>
      <w:r>
        <w:rPr>
          <w:rFonts w:hint="default" w:ascii="Times New Roman" w:hAnsi="Times New Roman" w:eastAsia="方正仿宋_GBK" w:cs="Times New Roman"/>
          <w:sz w:val="32"/>
          <w:szCs w:val="20"/>
        </w:rPr>
        <w:t>6</w:t>
      </w:r>
      <w:bookmarkEnd w:id="3"/>
      <w:r>
        <w:rPr>
          <w:rFonts w:hint="default" w:ascii="Times New Roman" w:hAnsi="Times New Roman" w:eastAsia="方正仿宋_GBK" w:cs="Times New Roman"/>
          <w:sz w:val="32"/>
          <w:szCs w:val="20"/>
        </w:rPr>
        <w:t>号</w:t>
      </w:r>
    </w:p>
    <w:bookmarkEnd w:id="1"/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20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区县（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自治县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两江新区、重庆高新区、万盛经开区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财政局，各市级预算单位、政府采购代理机构：</w:t>
      </w:r>
      <w:bookmarkStart w:id="4" w:name="_GoBack"/>
      <w:bookmarkEnd w:id="4"/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>现将《重庆市政府采购评审专家考核实施细则（试行）》印发给你们，请遵照执行。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0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0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20"/>
        </w:rPr>
      </w:pPr>
    </w:p>
    <w:p>
      <w:pPr>
        <w:spacing w:line="600" w:lineRule="exact"/>
        <w:ind w:firstLine="6505" w:firstLineChars="2033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>重庆市财政局</w:t>
      </w:r>
    </w:p>
    <w:p>
      <w:pPr>
        <w:spacing w:line="600" w:lineRule="exact"/>
        <w:ind w:firstLine="6060" w:firstLineChars="1894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>2020年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日</w:t>
      </w:r>
    </w:p>
    <w:p>
      <w:pPr>
        <w:spacing w:line="600" w:lineRule="exact"/>
        <w:ind w:firstLine="5420" w:firstLineChars="1694"/>
        <w:rPr>
          <w:rFonts w:hint="default" w:ascii="Times New Roman" w:hAnsi="Times New Roman" w:eastAsia="方正仿宋_GBK" w:cs="Times New Roman"/>
          <w:sz w:val="32"/>
          <w:szCs w:val="20"/>
        </w:rPr>
      </w:pPr>
    </w:p>
    <w:p>
      <w:pPr>
        <w:spacing w:line="600" w:lineRule="exact"/>
        <w:ind w:firstLine="5420" w:firstLineChars="1694"/>
        <w:rPr>
          <w:rFonts w:hint="default" w:ascii="Times New Roman" w:hAnsi="Times New Roman" w:eastAsia="方正仿宋_GBK" w:cs="Times New Roman"/>
          <w:sz w:val="32"/>
          <w:szCs w:val="20"/>
        </w:rPr>
      </w:pPr>
    </w:p>
    <w:p>
      <w:pPr>
        <w:spacing w:line="600" w:lineRule="exact"/>
        <w:ind w:firstLine="5420" w:firstLineChars="1694"/>
        <w:rPr>
          <w:rFonts w:hint="default" w:ascii="Times New Roman" w:hAnsi="Times New Roman" w:eastAsia="方正仿宋_GBK" w:cs="Times New Roman"/>
          <w:sz w:val="32"/>
          <w:szCs w:val="20"/>
        </w:rPr>
      </w:pPr>
    </w:p>
    <w:p>
      <w:pPr>
        <w:spacing w:line="600" w:lineRule="exact"/>
        <w:ind w:firstLine="5420" w:firstLineChars="1694"/>
        <w:rPr>
          <w:rFonts w:hint="default" w:ascii="Times New Roman" w:hAnsi="Times New Roman" w:eastAsia="方正仿宋_GBK" w:cs="Times New Roman"/>
          <w:sz w:val="32"/>
          <w:szCs w:val="20"/>
        </w:rPr>
      </w:pPr>
    </w:p>
    <w:p>
      <w:pPr>
        <w:spacing w:line="600" w:lineRule="exact"/>
        <w:ind w:firstLine="5420" w:firstLineChars="1694"/>
        <w:rPr>
          <w:rFonts w:hint="default" w:ascii="Times New Roman" w:hAnsi="Times New Roman" w:eastAsia="方正仿宋_GBK" w:cs="Times New Roman"/>
          <w:sz w:val="32"/>
          <w:szCs w:val="20"/>
        </w:rPr>
      </w:pPr>
    </w:p>
    <w:p>
      <w:pPr>
        <w:widowControl/>
        <w:autoSpaceDE w:val="0"/>
        <w:autoSpaceDN w:val="0"/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重庆市政府采购评审专家考核实施细则</w:t>
      </w:r>
    </w:p>
    <w:p>
      <w:pPr>
        <w:widowControl/>
        <w:autoSpaceDE w:val="0"/>
        <w:autoSpaceDN w:val="0"/>
        <w:spacing w:line="600" w:lineRule="exact"/>
        <w:jc w:val="center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（试  行）</w:t>
      </w:r>
    </w:p>
    <w:p>
      <w:pPr>
        <w:widowControl/>
        <w:autoSpaceDE w:val="0"/>
        <w:autoSpaceDN w:val="0"/>
        <w:spacing w:line="600" w:lineRule="exact"/>
        <w:ind w:firstLine="3040" w:firstLineChars="95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第一条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为进一步规范政府采购评审专家（以下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简称评审专家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评审行为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，加强评审专家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管理，提高政府采购评审工作质量，根据《中华人民共和国政府采购法》及其实施条例、财政部《政府采购评审专家管理办法》等规定，制定本细则。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第二条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细则适用于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市评审专家参加政府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采购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活动履职情况的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第三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考核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实事求是、客观公正、诚实守信原则，如实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反映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评审专家履职情况。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第四条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考核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工作采取日常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集中考核相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结合的方式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日常考核实行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采购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采购代理机构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共同组织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实施。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集中考核原则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上每年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实施。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第五条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日常考核实行累计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扣分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评审专家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每个采购项目的履职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尽责情况，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确定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结果。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（一）存在下列行为之一的，每次扣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分。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.接受政府采购项目评审邀请后，无正当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理由请假的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2.未按规定时间到达评审现场；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3.评审现场不按规定提交身份证明、登记录检、存放通讯工具； 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4.专业技能不能满足项目评审需要；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5.不熟悉政府采购法律法规；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6.评审专家收取劳务报酬时，不配合采购人、采购代理机构进行纳税信息登记；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7.综合评分为“差评”。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（二）存在下列行为之一的，每次扣20分。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1.缺席评审的；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2.在评审过程中不服从现场管理，无故拖延或早退影响评审工作正常进行；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3.在评审过程中违反法律法规和采购文件规定随意废标；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4.在评审过程中存在指向性、引导性、倾向性、歧视性或者排他性言行；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5.在评审过程中对投标供应商的澄清、说明内容，作出暗示或者诱导；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6.在参与的评审活动中征询采购人、采购代理机构意向中标供应商或接受任何单位（个人）提出的倾向或排斥特定竞争主体要求的。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（三）存在下列行为之一的，每次扣30分。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1.在评审过程中对需要专业判断的主观评审因素协商打分；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2.在评审过程中记录、复制或者带走评审资料；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3.评审结束后超标准索要并接受劳务报酬、差旅费或其他报酬；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4.无正当理由拒绝在评审报告上签字。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在同一采购项目评审活动中，有两种及以上扣分情形的，应当累计扣分。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第六条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集中考核以日常考核结果为基础，结合加分情况，确定考核结果。集中考核计算方法：（100分-日常考核扣分分值+加分分值）。评审专家符合下列条件之一的，每次加5分。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1.检举政府采购活动中违法、违规、违纪行为，经查证属实的；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2.向政府采购监管部门书面提出建议意见并被采纳的；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3.积极协助配合政府采购监管部门完成政府采购监管工作，并作出突出贡献的；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4.受到政府采购监管部门通报表扬的。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第七条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加强对评审专家的考核结果运用。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日常考核结果与评审专家抽取资格挂钩，年度内累计扣分达到20分（含）的，从达到之日起，暂停其3个月被抽取资格；达到30分的，暂停其6个月被抽取资格；达到40分（不含）以上的，予以解聘。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集中考核结果与评审专家评价等次挂钩，累计得分100分（含）以上为“优秀”等次，累计得分90（含）~100为“良好”等次，80（含）~90分为“一般”等次，60（含）~80分为“合格”等次，60分以下为“不合格”等次。集中考核于每年度1月份完成，考核结果将作为采购人选取评审专家的重要参考依据。考核结果为“不合格”等次的评审专家，予以解聘。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评审专家日常考核和集中考核按自然年度循环计算，在每年12月31日清零，次年1月1日重新计算。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第八条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采购人、采购代理机构应当在评审活动结束后5个工作日内，商定并形成一致书面意见后，由采购代理机构作为代表登录“政府采购信用评价系统”填写评价结果，存在扣分情形的，应上传相关材料。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因采购项目有质疑、投诉或举报等情形，需要对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评审专家进行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重新评价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采购代理机构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应当在收到处理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决定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个工作日内完成复核评价。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财政部门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在监督检查中，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发现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评审专家违法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违规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行为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需要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重新评价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的，采购代理机构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应当在收到财政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部门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反馈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结果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个工作日内完成复核评价。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评审专家可以在“重庆市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政府采购网—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评审专家管理”中查询本人考核结果，对考核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结果存在异议的，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可提出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申辩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意见并上传书面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证明文件，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财政部门复核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第九条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采购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或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采购代理机构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应当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认真履行评价职责，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实反映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评审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专家在评审活动中履职尽责情况。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对故意包庇、打击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报复、引诱威胁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不按评价原则进行评价的，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财政部门给予约谈、通报、责令限期整改等处理，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对违反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法律法规的，依法严肃处理。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第十条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本细则由重庆市财政局负责解释。</w:t>
      </w:r>
    </w:p>
    <w:p>
      <w:pPr>
        <w:widowControl/>
        <w:autoSpaceDE w:val="0"/>
        <w:autoSpaceDN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十一条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细则自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2020年5月1日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起施行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widowControl/>
        <w:autoSpaceDE w:val="0"/>
        <w:autoSpaceDN w:val="0"/>
        <w:spacing w:line="60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autoSpaceDE w:val="0"/>
        <w:autoSpaceDN w:val="0"/>
        <w:spacing w:line="60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autoSpaceDE w:val="0"/>
        <w:autoSpaceDN w:val="0"/>
        <w:spacing w:line="60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autoSpaceDE w:val="0"/>
        <w:autoSpaceDN w:val="0"/>
        <w:spacing w:line="60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20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20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20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20"/>
        </w:rPr>
      </w:pPr>
    </w:p>
    <w:p>
      <w:pPr>
        <w:widowControl/>
        <w:autoSpaceDE w:val="0"/>
        <w:autoSpaceDN w:val="0"/>
        <w:spacing w:line="600" w:lineRule="exact"/>
        <w:ind w:firstLine="420" w:firstLineChars="200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962" w:right="1474" w:bottom="1962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6"/>
      <w:wordWrap w:val="0"/>
      <w:ind w:left="3786" w:leftChars="1803" w:firstLine="7398" w:firstLineChars="2312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Hans"/>
      </w:rPr>
      <w:t>重庆市财政局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发布     </w:t>
    </w:r>
  </w:p>
  <w:p>
    <w:pPr>
      <w:pStyle w:val="6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extAlignment w:val="center"/>
      <w:rPr>
        <w:rFonts w:ascii="方正仿宋_GBK" w:hAnsi="方正仿宋_GBK" w:eastAsia="方正仿宋_GBK" w:cs="方正仿宋_GBK"/>
        <w:b/>
        <w:bCs/>
        <w:color w:val="000000"/>
        <w:sz w:val="32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重庆市财政局行政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zNGNmZTZkNzhjOTJhYWRiMzJiNGMyMGY2MzM3YzkifQ=="/>
  </w:docVars>
  <w:rsids>
    <w:rsidRoot w:val="00172A27"/>
    <w:rsid w:val="000D0AC3"/>
    <w:rsid w:val="00172A27"/>
    <w:rsid w:val="0034435C"/>
    <w:rsid w:val="007B0CDD"/>
    <w:rsid w:val="00945052"/>
    <w:rsid w:val="00A94A4B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F8B737F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87B08CA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C5555D7"/>
    <w:rsid w:val="6CF721A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2">
    <w:name w:val="日期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1898</Words>
  <Characters>1952</Characters>
  <Lines>14</Lines>
  <Paragraphs>4</Paragraphs>
  <TotalTime>3</TotalTime>
  <ScaleCrop>false</ScaleCrop>
  <LinksUpToDate>false</LinksUpToDate>
  <CharactersWithSpaces>1978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2022-06-12T13:58:00Z</dcterms:created>
  <dc:creator>t</dc:creator>
  <cp:lastModifiedBy>悠</cp:lastModifiedBy>
  <cp:lastPrinted>2022-05-12T00:46:00Z</cp:lastPrinted>
  <dcterms:modified xsi:type="dcterms:W3CDTF">2022-06-20T03:46:40Z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48C61CB29D3F4D9384F5922CF0F7FFB4</vt:lpwstr>
  </property>
</Properties>
</file>