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C4" w:rsidRDefault="00F208C4">
      <w:pPr>
        <w:pStyle w:val="a4"/>
        <w:pBdr>
          <w:bottom w:val="none" w:sz="0" w:space="0" w:color="auto"/>
        </w:pBdr>
        <w:spacing w:line="578" w:lineRule="exact"/>
        <w:jc w:val="left"/>
        <w:rPr>
          <w:rFonts w:ascii="Times New Roman" w:eastAsia="方正仿宋_GBK" w:hAnsi="Times New Roman"/>
          <w:sz w:val="32"/>
        </w:rPr>
      </w:pPr>
    </w:p>
    <w:p w:rsidR="00F208C4" w:rsidRDefault="00F208C4">
      <w:pPr>
        <w:pStyle w:val="a4"/>
        <w:pBdr>
          <w:bottom w:val="none" w:sz="0" w:space="0" w:color="auto"/>
        </w:pBdr>
        <w:spacing w:line="578" w:lineRule="exact"/>
        <w:jc w:val="left"/>
        <w:rPr>
          <w:rFonts w:ascii="Times New Roman" w:eastAsia="方正仿宋_GBK" w:hAnsi="Times New Roman"/>
          <w:sz w:val="32"/>
        </w:rPr>
      </w:pPr>
    </w:p>
    <w:p w:rsidR="00F208C4" w:rsidRDefault="000C60D7">
      <w:pPr>
        <w:pStyle w:val="a4"/>
        <w:pBdr>
          <w:bottom w:val="none" w:sz="0" w:space="0" w:color="auto"/>
        </w:pBdr>
        <w:spacing w:line="578" w:lineRule="exact"/>
        <w:jc w:val="right"/>
        <w:rPr>
          <w:rFonts w:ascii="Times New Roman" w:eastAsia="方正仿宋_GBK" w:hAnsi="Times New Roman"/>
          <w:sz w:val="32"/>
        </w:rPr>
      </w:pPr>
      <w:bookmarkStart w:id="0" w:name="B0003"/>
      <w:bookmarkEnd w:id="0"/>
      <w:r>
        <w:rPr>
          <w:rFonts w:ascii="Times New Roman" w:eastAsia="方正仿宋_GBK" w:hAnsi="Times New Roman" w:hint="eastAsia"/>
          <w:sz w:val="32"/>
        </w:rPr>
        <w:t>渝财处罚〔</w:t>
      </w:r>
      <w:r>
        <w:rPr>
          <w:rFonts w:ascii="Times New Roman" w:eastAsia="方正仿宋_GBK" w:hAnsi="Times New Roman" w:hint="eastAsia"/>
          <w:sz w:val="32"/>
        </w:rPr>
        <w:t>2023</w:t>
      </w:r>
      <w:r>
        <w:rPr>
          <w:rFonts w:ascii="Times New Roman" w:eastAsia="方正仿宋_GBK" w:hAnsi="Times New Roman" w:hint="eastAsia"/>
          <w:sz w:val="32"/>
        </w:rPr>
        <w:t>〕</w:t>
      </w:r>
      <w:r>
        <w:rPr>
          <w:rFonts w:ascii="Times New Roman" w:eastAsia="方正仿宋_GBK" w:hAnsi="Times New Roman" w:hint="eastAsia"/>
          <w:sz w:val="32"/>
        </w:rPr>
        <w:t>3</w:t>
      </w:r>
      <w:r>
        <w:rPr>
          <w:rFonts w:ascii="Times New Roman" w:eastAsia="方正仿宋_GBK" w:hAnsi="Times New Roman" w:hint="eastAsia"/>
          <w:sz w:val="32"/>
        </w:rPr>
        <w:t>号</w:t>
      </w: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page">
                  <wp:posOffset>722630</wp:posOffset>
                </wp:positionH>
                <wp:positionV relativeFrom="page">
                  <wp:posOffset>10016490</wp:posOffset>
                </wp:positionV>
                <wp:extent cx="6118225" cy="8255"/>
                <wp:effectExtent l="19050" t="38100" r="16510" b="488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168" cy="8312"/>
                        </a:xfrm>
                        <a:prstGeom prst="line">
                          <a:avLst/>
                        </a:prstGeom>
                        <a:noFill/>
                        <a:ln w="76200" cmpd="thinThick">
                          <a:solidFill>
                            <a:srgbClr val="FF0000"/>
                          </a:solidFill>
                          <a:round/>
                        </a:ln>
                      </wps:spPr>
                      <wps:bodyPr/>
                    </wps:wsp>
                  </a:graphicData>
                </a:graphic>
              </wp:anchor>
            </w:drawing>
          </mc:Choice>
          <mc:Fallback>
            <w:pict>
              <v:line w14:anchorId="1C26181B" id="直接连接符 1" o:spid="_x0000_s1026" style="position:absolute;left:0;text-align:left;z-index:251657728;visibility:visible;mso-wrap-style:square;mso-wrap-distance-left:9pt;mso-wrap-distance-top:0;mso-wrap-distance-right:9pt;mso-wrap-distance-bottom:0;mso-position-horizontal:absolute;mso-position-horizontal-relative:page;mso-position-vertical:absolute;mso-position-vertical-relative:page" from="56.9pt,788.7pt" to="538.65pt,7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" strokecolor="red" strokeweight="6pt">
                <v:stroke linestyle="thinThick"/>
                <w10:wrap anchorx="page" anchory="page"/>
              </v:line>
            </w:pict>
          </mc:Fallback>
        </mc:AlternateContent>
      </w:r>
      <w:r>
        <w:rPr>
          <w:rFonts w:ascii="Times New Roman" w:eastAsia="方正仿宋_GBK" w:hAnsi="Times New Roman" w:hint="eastAsia"/>
          <w:noProof/>
          <w:sz w:val="32"/>
          <w:szCs w:val="3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posOffset>1908175</wp:posOffset>
                </wp:positionV>
                <wp:extent cx="6120130" cy="0"/>
                <wp:effectExtent l="38100" t="41275" r="42545" b="444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6200" cmpd="thickThin">
                          <a:solidFill>
                            <a:srgbClr val="FF0000"/>
                          </a:solidFill>
                          <a:round/>
                        </a:ln>
                      </wps:spPr>
                      <wps:bodyPr/>
                    </wps:wsp>
                  </a:graphicData>
                </a:graphic>
              </wp:anchor>
            </w:drawing>
          </mc:Choice>
          <mc:Fallback>
            <w:pict>
              <v:line w14:anchorId="7B3BBF2B" id="直接连接符 2" o:spid="_x0000_s1026" style="position:absolute;left:0;text-align:left;z-index:251656704;visibility:visible;mso-wrap-style:square;mso-wrap-distance-left:9pt;mso-wrap-distance-top:0;mso-wrap-distance-right:9pt;mso-wrap-distance-bottom:0;mso-position-horizontal:center;mso-position-horizontal-relative:page;mso-position-vertical:absolute;mso-position-vertical-relative:page" from="0,150.25pt" to="481.9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" strokecolor="red" strokeweight="6pt">
                <v:stroke linestyle="thickThin"/>
                <w10:wrap anchorx="page" anchory="page"/>
              </v:line>
            </w:pict>
          </mc:Fallback>
        </mc:AlternateContent>
      </w:r>
      <w:r w:rsidR="008E1182">
        <w:rPr>
          <w:rFonts w:ascii="Times New Roman" w:eastAsia="方正仿宋_GBK" w:hAnsi="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85.05pt;width:425.2pt;height:53.85pt;z-index:251658752;mso-position-horizontal:center;mso-position-horizontal-relative:page;mso-position-vertical-relative:page;mso-width-relative:page;mso-height-relative:page" fillcolor="red" stroked="f" strokecolor="red">
            <v:textpath style="font-family:&quot;方正小标宋_GBK&quot;;font-weight:bold;v-text-spacing:78650f" trim="t" fitpath="t" string="重 庆 市 财 政 局"/>
            <w10:wrap anchorx="page" anchory="page"/>
          </v:shape>
        </w:pict>
      </w:r>
    </w:p>
    <w:p w:rsidR="00F208C4" w:rsidRDefault="00F208C4">
      <w:pPr>
        <w:spacing w:line="578" w:lineRule="exact"/>
        <w:jc w:val="left"/>
        <w:rPr>
          <w:rFonts w:ascii="Times New Roman" w:eastAsia="方正仿宋_GBK" w:hAnsi="Times New Roman"/>
          <w:sz w:val="32"/>
        </w:rPr>
      </w:pPr>
    </w:p>
    <w:p w:rsidR="000C60D7" w:rsidRDefault="008E1182" w:rsidP="000C60D7">
      <w:pPr>
        <w:spacing w:line="600" w:lineRule="exact"/>
        <w:ind w:firstLineChars="200" w:firstLine="640"/>
        <w:rPr>
          <w:rFonts w:ascii="Times New Roman" w:eastAsia="方正仿宋_GBK" w:hAnsi="Times New Roman"/>
          <w:sz w:val="32"/>
        </w:rPr>
      </w:pPr>
      <w:bookmarkStart w:id="1" w:name="正文文件"/>
      <w:bookmarkEnd w:id="1"/>
      <w:r>
        <w:rPr>
          <w:rFonts w:ascii="Times New Roman" w:eastAsia="方正仿宋_GBK" w:hAnsi="Times New Roman"/>
          <w:sz w:val="32"/>
        </w:rPr>
        <w:pict>
          <v:shape id="艺术字 2" o:spid="_x0000_s1027" type="#_x0000_t136" style="position:absolute;left:0;text-align:left;margin-left:0;margin-top:85.05pt;width:425.2pt;height:53.85pt;z-index:251660800;mso-position-horizontal:center;mso-position-horizontal-relative:page;mso-position-vertical-relative:page" fillcolor="red" stroked="f" strokecolor="red">
            <v:shadow color="#868686"/>
            <v:textpath style="font-family:&quot;方正小标宋_GBK&quot;;font-weight:bold;v-text-spacing:78650f" trim="t" string="重 庆 市 财 政 局"/>
            <w10:wrap anchorx="page" anchory="page"/>
          </v:shape>
        </w:pict>
      </w:r>
      <w:r>
        <w:rPr>
          <w:rFonts w:ascii="Times New Roman" w:eastAsia="方正仿宋_GBK" w:hAnsi="Times New Roman"/>
          <w:sz w:val="32"/>
        </w:rPr>
        <w:pict>
          <v:line id="直线 3" o:spid="_x0000_s1028" style="position:absolute;left:0;text-align:left;z-index:251661824;mso-position-horizontal-relative:page;mso-position-vertical-relative:page" from="57.95pt,152.6pt" to="539.85pt,152.6pt" strokecolor="red" strokeweight="6pt">
            <v:stroke linestyle="thickThin"/>
            <w10:wrap anchorx="page" anchory="page"/>
          </v:line>
        </w:pict>
      </w:r>
      <w:r>
        <w:rPr>
          <w:rFonts w:ascii="Times New Roman" w:eastAsia="方正仿宋_GBK" w:hAnsi="Times New Roman"/>
          <w:sz w:val="32"/>
        </w:rPr>
        <w:pict>
          <v:line id="直线 4" o:spid="_x0000_s1029" style="position:absolute;left:0;text-align:left;z-index:251662848;mso-position-horizontal:center;mso-position-horizontal-relative:page;mso-position-vertical-relative:page" from="0,785.3pt" to="481.9pt,785.3pt" strokecolor="red" strokeweight="6pt">
            <v:stroke linestyle="thinThick"/>
            <w10:wrap anchorx="page" anchory="page"/>
          </v:line>
        </w:pict>
      </w:r>
    </w:p>
    <w:p w:rsidR="000C60D7" w:rsidRDefault="000C60D7">
      <w:pPr>
        <w:spacing w:line="60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行政处罚决定书</w:t>
      </w:r>
    </w:p>
    <w:p w:rsidR="000C60D7" w:rsidRDefault="000C60D7">
      <w:pPr>
        <w:spacing w:line="600" w:lineRule="exact"/>
        <w:rPr>
          <w:rFonts w:ascii="Times New Roman" w:eastAsia="方正仿宋_GBK" w:hAnsi="Times New Roman"/>
          <w:sz w:val="32"/>
        </w:rPr>
      </w:pPr>
    </w:p>
    <w:p w:rsidR="000C60D7" w:rsidRDefault="000C60D7">
      <w:pPr>
        <w:spacing w:line="600" w:lineRule="exact"/>
        <w:rPr>
          <w:rFonts w:ascii="Times New Roman" w:eastAsia="方正仿宋_GBK" w:hAnsi="Times New Roman"/>
          <w:sz w:val="32"/>
        </w:rPr>
      </w:pPr>
      <w:r>
        <w:rPr>
          <w:rFonts w:ascii="Times New Roman" w:eastAsia="方正仿宋_GBK" w:hAnsi="Times New Roman" w:hint="eastAsia"/>
          <w:sz w:val="32"/>
        </w:rPr>
        <w:t>当事人：重庆华信资产评估房地产土地估价有限公司</w:t>
      </w:r>
    </w:p>
    <w:p w:rsidR="000C60D7" w:rsidRDefault="000C60D7">
      <w:pPr>
        <w:spacing w:line="600" w:lineRule="exact"/>
        <w:rPr>
          <w:rFonts w:ascii="Times New Roman" w:eastAsia="方正仿宋_GBK" w:hAnsi="Times New Roman"/>
          <w:sz w:val="32"/>
        </w:rPr>
      </w:pPr>
      <w:r>
        <w:rPr>
          <w:rFonts w:ascii="Times New Roman" w:eastAsia="方正仿宋_GBK" w:hAnsi="Times New Roman" w:hint="eastAsia"/>
          <w:sz w:val="32"/>
        </w:rPr>
        <w:t>法定代表人</w:t>
      </w:r>
      <w:r>
        <w:rPr>
          <w:rFonts w:ascii="Times New Roman" w:eastAsia="方正仿宋_GBK" w:hAnsi="Times New Roman"/>
          <w:sz w:val="32"/>
        </w:rPr>
        <w:t>：</w:t>
      </w:r>
      <w:r>
        <w:rPr>
          <w:rFonts w:ascii="Times New Roman" w:eastAsia="方正仿宋_GBK" w:hAnsi="Times New Roman" w:hint="eastAsia"/>
          <w:sz w:val="32"/>
        </w:rPr>
        <w:t>邹微</w:t>
      </w:r>
    </w:p>
    <w:p w:rsidR="000C60D7" w:rsidRDefault="000C60D7">
      <w:pPr>
        <w:spacing w:line="600" w:lineRule="exact"/>
        <w:rPr>
          <w:rFonts w:ascii="Times New Roman" w:eastAsia="方正仿宋_GBK" w:hAnsi="Times New Roman"/>
          <w:sz w:val="32"/>
        </w:rPr>
      </w:pPr>
      <w:r>
        <w:rPr>
          <w:rFonts w:ascii="Times New Roman" w:eastAsia="方正仿宋_GBK" w:hAnsi="Times New Roman" w:hint="eastAsia"/>
          <w:sz w:val="32"/>
        </w:rPr>
        <w:t>地址：重庆市大渡口区天安数码城</w:t>
      </w:r>
      <w:r>
        <w:rPr>
          <w:rFonts w:ascii="Times New Roman" w:eastAsia="方正仿宋_GBK" w:hAnsi="Times New Roman" w:hint="eastAsia"/>
          <w:sz w:val="32"/>
        </w:rPr>
        <w:t>2</w:t>
      </w:r>
      <w:r>
        <w:rPr>
          <w:rFonts w:ascii="Times New Roman" w:eastAsia="方正仿宋_GBK" w:hAnsi="Times New Roman" w:hint="eastAsia"/>
          <w:sz w:val="32"/>
        </w:rPr>
        <w:t>期</w:t>
      </w:r>
      <w:r>
        <w:rPr>
          <w:rFonts w:ascii="Times New Roman" w:eastAsia="方正仿宋_GBK" w:hAnsi="Times New Roman" w:hint="eastAsia"/>
          <w:sz w:val="32"/>
        </w:rPr>
        <w:t>5</w:t>
      </w:r>
      <w:r>
        <w:rPr>
          <w:rFonts w:ascii="Times New Roman" w:eastAsia="方正仿宋_GBK" w:hAnsi="Times New Roman" w:hint="eastAsia"/>
          <w:sz w:val="32"/>
        </w:rPr>
        <w:t>栋</w:t>
      </w:r>
      <w:r>
        <w:rPr>
          <w:rFonts w:ascii="Times New Roman" w:eastAsia="方正仿宋_GBK" w:hAnsi="Times New Roman" w:hint="eastAsia"/>
          <w:sz w:val="32"/>
        </w:rPr>
        <w:t>8-1</w:t>
      </w:r>
      <w:r>
        <w:rPr>
          <w:rFonts w:ascii="Times New Roman" w:eastAsia="方正仿宋_GBK" w:hAnsi="Times New Roman" w:hint="eastAsia"/>
          <w:sz w:val="32"/>
        </w:rPr>
        <w:t>号</w:t>
      </w:r>
    </w:p>
    <w:p w:rsidR="000C60D7" w:rsidRDefault="000C60D7">
      <w:pPr>
        <w:autoSpaceDE w:val="0"/>
        <w:autoSpaceDN w:val="0"/>
        <w:adjustRightInd w:val="0"/>
        <w:spacing w:line="600" w:lineRule="exact"/>
        <w:ind w:firstLineChars="150" w:firstLine="480"/>
        <w:rPr>
          <w:rFonts w:ascii="方正仿宋_GBK" w:eastAsia="方正仿宋_GBK" w:hAnsi="华文仿宋" w:cs="宋体"/>
          <w:color w:val="000000"/>
          <w:sz w:val="32"/>
          <w:szCs w:val="32"/>
          <w:lang w:val="zh-CN"/>
        </w:rPr>
      </w:pPr>
      <w:r>
        <w:rPr>
          <w:rFonts w:ascii="Times New Roman" w:eastAsia="方正仿宋_GBK" w:hAnsi="Times New Roman" w:hint="eastAsia"/>
          <w:sz w:val="32"/>
        </w:rPr>
        <w:t>根据《中华人民共和国资产评估法》《资产评估行业财政监督管理办法》（财政部令第</w:t>
      </w:r>
      <w:r>
        <w:rPr>
          <w:rFonts w:ascii="Times New Roman" w:eastAsia="方正仿宋_GBK" w:hAnsi="Times New Roman" w:hint="eastAsia"/>
          <w:sz w:val="32"/>
        </w:rPr>
        <w:t>97</w:t>
      </w:r>
      <w:r>
        <w:rPr>
          <w:rFonts w:ascii="Times New Roman" w:eastAsia="方正仿宋_GBK" w:hAnsi="Times New Roman" w:hint="eastAsia"/>
          <w:sz w:val="32"/>
        </w:rPr>
        <w:t>号）等有关规定，按照《财政部关于组织地方财政部门开展</w:t>
      </w:r>
      <w:r>
        <w:rPr>
          <w:rFonts w:ascii="Times New Roman" w:eastAsia="方正仿宋_GBK" w:hAnsi="Times New Roman" w:hint="eastAsia"/>
          <w:sz w:val="32"/>
        </w:rPr>
        <w:t>2021</w:t>
      </w:r>
      <w:r>
        <w:rPr>
          <w:rFonts w:ascii="Times New Roman" w:eastAsia="方正仿宋_GBK" w:hAnsi="Times New Roman" w:hint="eastAsia"/>
          <w:sz w:val="32"/>
        </w:rPr>
        <w:t>年度会计和评估监督检查工作的通知》（财监〔</w:t>
      </w:r>
      <w:r>
        <w:rPr>
          <w:rFonts w:ascii="Times New Roman" w:eastAsia="方正仿宋_GBK" w:hAnsi="Times New Roman" w:hint="eastAsia"/>
          <w:sz w:val="32"/>
        </w:rPr>
        <w:t>2021</w:t>
      </w:r>
      <w:r>
        <w:rPr>
          <w:rFonts w:ascii="Times New Roman" w:eastAsia="方正仿宋_GBK" w:hAnsi="Times New Roman" w:hint="eastAsia"/>
          <w:sz w:val="32"/>
        </w:rPr>
        <w:t>〕</w:t>
      </w:r>
      <w:r>
        <w:rPr>
          <w:rFonts w:ascii="Times New Roman" w:eastAsia="方正仿宋_GBK" w:hAnsi="Times New Roman" w:hint="eastAsia"/>
          <w:sz w:val="32"/>
        </w:rPr>
        <w:t>9</w:t>
      </w:r>
      <w:r>
        <w:rPr>
          <w:rFonts w:ascii="Times New Roman" w:eastAsia="方正仿宋_GBK" w:hAnsi="Times New Roman" w:hint="eastAsia"/>
          <w:sz w:val="32"/>
        </w:rPr>
        <w:t>号）的要求，结合《重庆市财政局关于对重庆华信资产评估房地产土地估价有限公司开展检查的通知》（渝财监督〔</w:t>
      </w:r>
      <w:r>
        <w:rPr>
          <w:rFonts w:ascii="Times New Roman" w:eastAsia="方正仿宋_GBK" w:hAnsi="Times New Roman" w:hint="eastAsia"/>
          <w:sz w:val="32"/>
        </w:rPr>
        <w:t>2021</w:t>
      </w:r>
      <w:r>
        <w:rPr>
          <w:rFonts w:ascii="Times New Roman" w:eastAsia="方正仿宋_GBK" w:hAnsi="Times New Roman" w:hint="eastAsia"/>
          <w:sz w:val="32"/>
        </w:rPr>
        <w:t>〕</w:t>
      </w:r>
      <w:r>
        <w:rPr>
          <w:rFonts w:ascii="Times New Roman" w:eastAsia="方正仿宋_GBK" w:hAnsi="Times New Roman" w:hint="eastAsia"/>
          <w:sz w:val="32"/>
        </w:rPr>
        <w:t>24</w:t>
      </w:r>
      <w:r>
        <w:rPr>
          <w:rFonts w:ascii="Times New Roman" w:eastAsia="方正仿宋_GBK" w:hAnsi="Times New Roman" w:hint="eastAsia"/>
          <w:sz w:val="32"/>
        </w:rPr>
        <w:t>号）安排，本机关于</w:t>
      </w:r>
      <w:r>
        <w:rPr>
          <w:rFonts w:ascii="Times New Roman" w:eastAsia="方正仿宋_GBK" w:hAnsi="Times New Roman" w:hint="eastAsia"/>
          <w:sz w:val="32"/>
        </w:rPr>
        <w:t>2021</w:t>
      </w:r>
      <w:r>
        <w:rPr>
          <w:rFonts w:ascii="Times New Roman" w:eastAsia="方正仿宋_GBK" w:hAnsi="Times New Roman" w:hint="eastAsia"/>
          <w:sz w:val="32"/>
        </w:rPr>
        <w:t>年</w:t>
      </w:r>
      <w:r>
        <w:rPr>
          <w:rFonts w:ascii="Times New Roman" w:eastAsia="方正仿宋_GBK" w:hAnsi="Times New Roman" w:hint="eastAsia"/>
          <w:sz w:val="32"/>
        </w:rPr>
        <w:t>10</w:t>
      </w:r>
      <w:r>
        <w:rPr>
          <w:rFonts w:ascii="Times New Roman" w:eastAsia="方正仿宋_GBK" w:hAnsi="Times New Roman" w:hint="eastAsia"/>
          <w:sz w:val="32"/>
        </w:rPr>
        <w:t>月对你公司</w:t>
      </w:r>
      <w:r>
        <w:rPr>
          <w:rFonts w:ascii="Times New Roman" w:eastAsia="方正仿宋_GBK" w:hAnsi="Times New Roman" w:hint="eastAsia"/>
          <w:sz w:val="32"/>
        </w:rPr>
        <w:t>2020</w:t>
      </w:r>
      <w:r>
        <w:rPr>
          <w:rFonts w:ascii="Times New Roman" w:eastAsia="方正仿宋_GBK" w:hAnsi="Times New Roman" w:hint="eastAsia"/>
          <w:sz w:val="32"/>
        </w:rPr>
        <w:t>年</w:t>
      </w:r>
      <w:r>
        <w:rPr>
          <w:rFonts w:ascii="Times New Roman" w:eastAsia="方正仿宋_GBK" w:hAnsi="Times New Roman" w:hint="eastAsia"/>
          <w:sz w:val="32"/>
        </w:rPr>
        <w:t>1</w:t>
      </w:r>
      <w:r>
        <w:rPr>
          <w:rFonts w:ascii="Times New Roman" w:eastAsia="方正仿宋_GBK" w:hAnsi="Times New Roman" w:hint="eastAsia"/>
          <w:sz w:val="32"/>
        </w:rPr>
        <w:t>月至</w:t>
      </w:r>
      <w:r>
        <w:rPr>
          <w:rFonts w:ascii="Times New Roman" w:eastAsia="方正仿宋_GBK" w:hAnsi="Times New Roman" w:hint="eastAsia"/>
          <w:sz w:val="32"/>
        </w:rPr>
        <w:t>2021</w:t>
      </w:r>
      <w:r>
        <w:rPr>
          <w:rFonts w:ascii="Times New Roman" w:eastAsia="方正仿宋_GBK" w:hAnsi="Times New Roman" w:hint="eastAsia"/>
          <w:sz w:val="32"/>
        </w:rPr>
        <w:t>年</w:t>
      </w:r>
      <w:r>
        <w:rPr>
          <w:rFonts w:ascii="Times New Roman" w:eastAsia="方正仿宋_GBK" w:hAnsi="Times New Roman" w:hint="eastAsia"/>
          <w:sz w:val="32"/>
        </w:rPr>
        <w:t>6</w:t>
      </w:r>
      <w:r>
        <w:rPr>
          <w:rFonts w:ascii="Times New Roman" w:eastAsia="方正仿宋_GBK" w:hAnsi="Times New Roman" w:hint="eastAsia"/>
          <w:sz w:val="32"/>
        </w:rPr>
        <w:t>月的执业质量和内部控制等情况进行了检查。</w:t>
      </w:r>
      <w:r>
        <w:rPr>
          <w:rFonts w:ascii="方正仿宋_GBK" w:eastAsia="方正仿宋_GBK" w:cs="仿宋_GB2312" w:hint="eastAsia"/>
          <w:color w:val="000000"/>
          <w:kern w:val="0"/>
          <w:sz w:val="32"/>
          <w:szCs w:val="32"/>
        </w:rPr>
        <w:t>查明的违法事实和行政处罚决定如下</w:t>
      </w:r>
      <w:r>
        <w:rPr>
          <w:rFonts w:ascii="方正仿宋_GBK" w:eastAsia="方正仿宋_GBK" w:hAnsi="华文仿宋" w:hint="eastAsia"/>
          <w:color w:val="000000"/>
          <w:kern w:val="0"/>
          <w:sz w:val="32"/>
          <w:szCs w:val="32"/>
        </w:rPr>
        <w:t>：</w:t>
      </w:r>
    </w:p>
    <w:p w:rsidR="000C60D7" w:rsidRDefault="000C60D7">
      <w:pPr>
        <w:spacing w:line="600" w:lineRule="exact"/>
        <w:ind w:firstLineChars="200" w:firstLine="640"/>
        <w:rPr>
          <w:rFonts w:ascii="方正黑体_GBK" w:eastAsia="方正黑体_GBK" w:hAnsi="Times New Roman"/>
          <w:sz w:val="32"/>
        </w:rPr>
      </w:pPr>
      <w:r>
        <w:rPr>
          <w:rFonts w:ascii="方正黑体_GBK" w:eastAsia="方正黑体_GBK" w:hAnsi="Times New Roman" w:hint="eastAsia"/>
          <w:sz w:val="32"/>
        </w:rPr>
        <w:t>一、违法事实</w:t>
      </w:r>
    </w:p>
    <w:p w:rsidR="000C60D7" w:rsidRDefault="000C60D7">
      <w:pPr>
        <w:spacing w:line="600" w:lineRule="exact"/>
        <w:ind w:firstLineChars="200" w:firstLine="640"/>
        <w:rPr>
          <w:rFonts w:ascii="Times New Roman" w:eastAsia="方正仿宋_GBK" w:hAnsi="Times New Roman"/>
          <w:sz w:val="32"/>
        </w:rPr>
      </w:pPr>
      <w:r>
        <w:rPr>
          <w:rFonts w:ascii="Times New Roman" w:eastAsia="方正仿宋_GBK" w:hAnsi="Times New Roman" w:hint="eastAsia"/>
          <w:sz w:val="32"/>
        </w:rPr>
        <w:t>检查发现，你公司出具的重华信评报字〔</w:t>
      </w:r>
      <w:r>
        <w:rPr>
          <w:rFonts w:ascii="Times New Roman" w:eastAsia="方正仿宋_GBK" w:hAnsi="Times New Roman" w:hint="eastAsia"/>
          <w:sz w:val="32"/>
        </w:rPr>
        <w:t>2020</w:t>
      </w:r>
      <w:r>
        <w:rPr>
          <w:rFonts w:ascii="Times New Roman" w:eastAsia="方正仿宋_GBK" w:hAnsi="Times New Roman" w:hint="eastAsia"/>
          <w:sz w:val="32"/>
        </w:rPr>
        <w:t>〕第</w:t>
      </w:r>
      <w:r>
        <w:rPr>
          <w:rFonts w:ascii="Times New Roman" w:eastAsia="方正仿宋_GBK" w:hAnsi="Times New Roman" w:hint="eastAsia"/>
          <w:sz w:val="32"/>
        </w:rPr>
        <w:t>59</w:t>
      </w:r>
      <w:r>
        <w:rPr>
          <w:rFonts w:ascii="Times New Roman" w:eastAsia="方正仿宋_GBK" w:hAnsi="Times New Roman" w:hint="eastAsia"/>
          <w:sz w:val="32"/>
        </w:rPr>
        <w:t>号评估报告，存在评估报告内容与委托合同不一致；评估依据不充分，对相关计算指标的取值无依据；评估表外资产有错误、测算依据</w:t>
      </w:r>
      <w:r>
        <w:rPr>
          <w:rFonts w:ascii="Times New Roman" w:eastAsia="方正仿宋_GBK" w:hAnsi="Times New Roman" w:hint="eastAsia"/>
          <w:sz w:val="32"/>
        </w:rPr>
        <w:lastRenderedPageBreak/>
        <w:t>不充分，将表外资产景区品牌价值作为无形资产进行评估，与无形资产准则定义不符，未来收入、成本、费用的预测无相关数据来源及测算依据分析；被评估单位涉及的长期投资单位的资产、负债全部转入母公司，并在母公司进行评估，未按法人单位进行评估；未按国有资产监管的法律法规要求出具评估报告，评估报告明细表格式不符合相关要求；评估工作底稿不完善，缺少核验查证资料；评估复核未见实质性复核记录等问题。</w:t>
      </w:r>
    </w:p>
    <w:p w:rsidR="000C60D7" w:rsidRDefault="000C60D7">
      <w:pPr>
        <w:spacing w:line="600" w:lineRule="exact"/>
        <w:ind w:firstLineChars="200" w:firstLine="640"/>
        <w:rPr>
          <w:rFonts w:ascii="Times New Roman" w:eastAsia="方正仿宋_GBK" w:hAnsi="Times New Roman"/>
          <w:sz w:val="32"/>
          <w:highlight w:val="yellow"/>
        </w:rPr>
      </w:pPr>
      <w:r>
        <w:rPr>
          <w:rFonts w:ascii="Times New Roman" w:eastAsia="方正仿宋_GBK" w:hAnsi="Times New Roman" w:hint="eastAsia"/>
          <w:sz w:val="32"/>
        </w:rPr>
        <w:t>上述事实，有经当事人签字确认的财政检查工作底稿、反馈意见等相关证据予以证实。</w:t>
      </w:r>
    </w:p>
    <w:p w:rsidR="000C60D7" w:rsidRDefault="000C60D7">
      <w:pPr>
        <w:spacing w:line="600" w:lineRule="exact"/>
        <w:ind w:firstLineChars="200" w:firstLine="640"/>
        <w:rPr>
          <w:rFonts w:ascii="方正黑体_GBK" w:eastAsia="方正黑体_GBK" w:hAnsi="Times New Roman"/>
          <w:sz w:val="32"/>
        </w:rPr>
      </w:pPr>
      <w:r>
        <w:rPr>
          <w:rFonts w:ascii="方正黑体_GBK" w:eastAsia="方正黑体_GBK" w:hAnsi="Times New Roman" w:hint="eastAsia"/>
          <w:sz w:val="32"/>
        </w:rPr>
        <w:t>二、行政处罚的理由及依据</w:t>
      </w:r>
    </w:p>
    <w:p w:rsidR="000C60D7" w:rsidRDefault="000C60D7">
      <w:pPr>
        <w:spacing w:line="600" w:lineRule="exact"/>
        <w:ind w:firstLineChars="200" w:firstLine="640"/>
        <w:rPr>
          <w:rFonts w:eastAsia="方正仿宋_GBK"/>
          <w:bCs/>
          <w:sz w:val="32"/>
          <w:szCs w:val="32"/>
        </w:rPr>
      </w:pPr>
      <w:r>
        <w:rPr>
          <w:rFonts w:ascii="Times New Roman" w:eastAsia="方正仿宋_GBK" w:hAnsi="Times New Roman" w:hint="eastAsia"/>
          <w:sz w:val="32"/>
        </w:rPr>
        <w:t>依据《资产评估行业财政监督管理办法》（财政部令第</w:t>
      </w:r>
      <w:r>
        <w:rPr>
          <w:rFonts w:ascii="Times New Roman" w:eastAsia="方正仿宋_GBK" w:hAnsi="Times New Roman" w:hint="eastAsia"/>
          <w:sz w:val="32"/>
        </w:rPr>
        <w:t>97</w:t>
      </w:r>
      <w:r>
        <w:rPr>
          <w:rFonts w:ascii="Times New Roman" w:eastAsia="方正仿宋_GBK" w:hAnsi="Times New Roman" w:hint="eastAsia"/>
          <w:sz w:val="32"/>
        </w:rPr>
        <w:t>号）第四十六条，本机关认定上述事项构成重大遗漏，</w:t>
      </w:r>
      <w:r>
        <w:rPr>
          <w:rFonts w:eastAsia="方正仿宋_GBK" w:hint="eastAsia"/>
          <w:bCs/>
          <w:sz w:val="32"/>
          <w:szCs w:val="32"/>
        </w:rPr>
        <w:t>违反了</w:t>
      </w:r>
      <w:r>
        <w:rPr>
          <w:rFonts w:eastAsia="方正仿宋_GBK"/>
          <w:bCs/>
          <w:sz w:val="32"/>
          <w:szCs w:val="32"/>
        </w:rPr>
        <w:t>《中华人民共和国资产评估法》</w:t>
      </w:r>
      <w:r>
        <w:rPr>
          <w:rFonts w:eastAsia="方正仿宋_GBK" w:hint="eastAsia"/>
          <w:bCs/>
          <w:sz w:val="32"/>
          <w:szCs w:val="32"/>
        </w:rPr>
        <w:t>第二十条第（六）项</w:t>
      </w:r>
      <w:r>
        <w:rPr>
          <w:rFonts w:eastAsia="方正仿宋_GBK" w:hint="eastAsia"/>
          <w:bCs/>
          <w:color w:val="000000"/>
          <w:sz w:val="32"/>
          <w:szCs w:val="32"/>
        </w:rPr>
        <w:t>，</w:t>
      </w:r>
      <w:r>
        <w:rPr>
          <w:rFonts w:eastAsia="方正仿宋_GBK"/>
          <w:bCs/>
          <w:color w:val="000000"/>
          <w:sz w:val="32"/>
          <w:szCs w:val="32"/>
        </w:rPr>
        <w:t>《资产评估基本准</w:t>
      </w:r>
      <w:r>
        <w:rPr>
          <w:rFonts w:eastAsia="方正仿宋_GBK"/>
          <w:bCs/>
          <w:sz w:val="32"/>
          <w:szCs w:val="32"/>
        </w:rPr>
        <w:t>则》第五条</w:t>
      </w:r>
      <w:r>
        <w:rPr>
          <w:rFonts w:eastAsia="方正仿宋_GBK" w:hint="eastAsia"/>
          <w:bCs/>
          <w:sz w:val="32"/>
          <w:szCs w:val="32"/>
        </w:rPr>
        <w:t>，</w:t>
      </w:r>
      <w:r>
        <w:rPr>
          <w:rFonts w:eastAsia="方正仿宋_GBK"/>
          <w:bCs/>
          <w:color w:val="000000"/>
          <w:sz w:val="32"/>
          <w:szCs w:val="32"/>
        </w:rPr>
        <w:t>《资产评估职业道德准则》第四条</w:t>
      </w:r>
      <w:r>
        <w:rPr>
          <w:rFonts w:eastAsia="方正仿宋_GBK" w:hint="eastAsia"/>
          <w:bCs/>
          <w:color w:val="000000"/>
          <w:sz w:val="32"/>
          <w:szCs w:val="32"/>
        </w:rPr>
        <w:t>，</w:t>
      </w:r>
      <w:r>
        <w:rPr>
          <w:rFonts w:eastAsia="方正仿宋_GBK"/>
          <w:bCs/>
          <w:sz w:val="32"/>
          <w:szCs w:val="32"/>
        </w:rPr>
        <w:t>《资产评估执业准则</w:t>
      </w:r>
      <w:r>
        <w:rPr>
          <w:rFonts w:eastAsia="方正仿宋_GBK" w:hint="eastAsia"/>
          <w:bCs/>
          <w:sz w:val="32"/>
          <w:szCs w:val="32"/>
        </w:rPr>
        <w:t>——</w:t>
      </w:r>
      <w:r>
        <w:rPr>
          <w:rFonts w:eastAsia="方正仿宋_GBK"/>
          <w:bCs/>
          <w:sz w:val="32"/>
          <w:szCs w:val="32"/>
        </w:rPr>
        <w:t>资产评估程序》第十九条、第二十三条</w:t>
      </w:r>
      <w:r>
        <w:rPr>
          <w:rFonts w:eastAsia="方正仿宋_GBK" w:hint="eastAsia"/>
          <w:bCs/>
          <w:sz w:val="32"/>
          <w:szCs w:val="32"/>
        </w:rPr>
        <w:t>，</w:t>
      </w:r>
      <w:r>
        <w:rPr>
          <w:rFonts w:eastAsia="方正仿宋_GBK"/>
          <w:bCs/>
          <w:sz w:val="32"/>
          <w:szCs w:val="32"/>
        </w:rPr>
        <w:t>《资产评估执业准则</w:t>
      </w:r>
      <w:r>
        <w:rPr>
          <w:rFonts w:eastAsia="方正仿宋_GBK" w:hint="eastAsia"/>
          <w:bCs/>
          <w:sz w:val="32"/>
          <w:szCs w:val="32"/>
        </w:rPr>
        <w:t>——</w:t>
      </w:r>
      <w:r>
        <w:rPr>
          <w:rFonts w:eastAsia="方正仿宋_GBK"/>
          <w:bCs/>
          <w:sz w:val="32"/>
          <w:szCs w:val="32"/>
        </w:rPr>
        <w:t>资产评估档案》第六条</w:t>
      </w:r>
      <w:r>
        <w:rPr>
          <w:rFonts w:eastAsia="方正仿宋_GBK" w:hint="eastAsia"/>
          <w:bCs/>
          <w:sz w:val="32"/>
          <w:szCs w:val="32"/>
        </w:rPr>
        <w:t>，</w:t>
      </w:r>
      <w:r>
        <w:rPr>
          <w:rFonts w:eastAsia="方正仿宋_GBK"/>
          <w:bCs/>
          <w:sz w:val="32"/>
          <w:szCs w:val="32"/>
        </w:rPr>
        <w:t>《资产评估执业准则</w:t>
      </w:r>
      <w:r>
        <w:rPr>
          <w:rFonts w:eastAsia="方正仿宋_GBK" w:hint="eastAsia"/>
          <w:bCs/>
          <w:sz w:val="32"/>
          <w:szCs w:val="32"/>
        </w:rPr>
        <w:t>——</w:t>
      </w:r>
      <w:r>
        <w:rPr>
          <w:rFonts w:eastAsia="方正仿宋_GBK"/>
          <w:bCs/>
          <w:sz w:val="32"/>
          <w:szCs w:val="32"/>
        </w:rPr>
        <w:t>企业价值》第五条、第七条</w:t>
      </w:r>
      <w:r>
        <w:rPr>
          <w:rFonts w:eastAsia="方正仿宋_GBK" w:hint="eastAsia"/>
          <w:bCs/>
          <w:sz w:val="32"/>
          <w:szCs w:val="32"/>
        </w:rPr>
        <w:t>，</w:t>
      </w:r>
      <w:r>
        <w:rPr>
          <w:rFonts w:eastAsia="方正仿宋_GBK"/>
          <w:bCs/>
          <w:sz w:val="32"/>
          <w:szCs w:val="32"/>
        </w:rPr>
        <w:t>《资产评估执业准则</w:t>
      </w:r>
      <w:r>
        <w:rPr>
          <w:rFonts w:eastAsia="方正仿宋_GBK" w:hint="eastAsia"/>
          <w:bCs/>
          <w:sz w:val="32"/>
          <w:szCs w:val="32"/>
        </w:rPr>
        <w:t>——</w:t>
      </w:r>
      <w:r>
        <w:rPr>
          <w:rFonts w:eastAsia="方正仿宋_GBK"/>
          <w:bCs/>
          <w:sz w:val="32"/>
          <w:szCs w:val="32"/>
        </w:rPr>
        <w:t>无形资产》第十三条、第十四条</w:t>
      </w:r>
      <w:r>
        <w:rPr>
          <w:rFonts w:eastAsia="方正仿宋_GBK" w:hint="eastAsia"/>
          <w:bCs/>
          <w:sz w:val="32"/>
          <w:szCs w:val="32"/>
        </w:rPr>
        <w:t>等有关规定</w:t>
      </w:r>
      <w:r>
        <w:rPr>
          <w:rFonts w:eastAsia="方正仿宋_GBK"/>
          <w:bCs/>
          <w:sz w:val="32"/>
          <w:szCs w:val="32"/>
        </w:rPr>
        <w:t>。</w:t>
      </w:r>
    </w:p>
    <w:p w:rsidR="000C60D7" w:rsidRDefault="000C60D7">
      <w:pPr>
        <w:spacing w:line="600" w:lineRule="exact"/>
        <w:ind w:firstLineChars="200" w:firstLine="640"/>
        <w:rPr>
          <w:rFonts w:ascii="方正黑体_GBK" w:eastAsia="方正黑体_GBK" w:hAnsi="Times New Roman"/>
          <w:sz w:val="32"/>
        </w:rPr>
      </w:pPr>
      <w:r>
        <w:rPr>
          <w:rFonts w:ascii="方正黑体_GBK" w:eastAsia="方正黑体_GBK" w:hAnsi="Times New Roman" w:hint="eastAsia"/>
          <w:sz w:val="32"/>
        </w:rPr>
        <w:t>三、行政处罚决定</w:t>
      </w:r>
    </w:p>
    <w:p w:rsidR="000C60D7" w:rsidRDefault="000C60D7">
      <w:pPr>
        <w:spacing w:line="600" w:lineRule="exact"/>
        <w:ind w:firstLineChars="196" w:firstLine="627"/>
        <w:rPr>
          <w:rFonts w:ascii="Times New Roman" w:eastAsia="方正仿宋_GBK" w:hAnsi="Times New Roman"/>
          <w:sz w:val="32"/>
        </w:rPr>
      </w:pPr>
      <w:r>
        <w:rPr>
          <w:rFonts w:ascii="方正仿宋_GBK" w:eastAsia="方正仿宋_GBK" w:hAnsi="Times New Roman" w:hint="eastAsia"/>
          <w:color w:val="000000"/>
          <w:kern w:val="0"/>
          <w:sz w:val="32"/>
          <w:szCs w:val="32"/>
        </w:rPr>
        <w:t>按照</w:t>
      </w:r>
      <w:r>
        <w:rPr>
          <w:rFonts w:ascii="方正仿宋_GBK" w:eastAsia="方正仿宋_GBK" w:hAnsi="Times New Roman"/>
          <w:color w:val="000000"/>
          <w:kern w:val="0"/>
          <w:sz w:val="32"/>
          <w:szCs w:val="32"/>
        </w:rPr>
        <w:t>法定程序，</w:t>
      </w:r>
      <w:r>
        <w:rPr>
          <w:rFonts w:ascii="方正仿宋_GBK" w:eastAsia="方正仿宋_GBK" w:hAnsi="Times New Roman" w:hint="eastAsia"/>
          <w:color w:val="000000"/>
          <w:kern w:val="0"/>
          <w:sz w:val="32"/>
          <w:szCs w:val="32"/>
        </w:rPr>
        <w:t>本机关</w:t>
      </w:r>
      <w:r>
        <w:rPr>
          <w:rFonts w:ascii="方正仿宋_GBK" w:eastAsia="方正仿宋_GBK" w:hAnsi="Times New Roman"/>
          <w:color w:val="000000"/>
          <w:kern w:val="0"/>
          <w:sz w:val="32"/>
          <w:szCs w:val="32"/>
        </w:rPr>
        <w:t>已于</w:t>
      </w:r>
      <w:r>
        <w:rPr>
          <w:rFonts w:ascii="Times New Roman" w:eastAsia="方正仿宋_GBK" w:hAnsi="Times New Roman" w:hint="eastAsia"/>
          <w:color w:val="000000"/>
          <w:sz w:val="32"/>
          <w:szCs w:val="32"/>
          <w:lang w:val="zh-CN"/>
        </w:rPr>
        <w:t>202</w:t>
      </w: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lang w:val="zh-CN"/>
        </w:rPr>
        <w:t>年</w:t>
      </w:r>
      <w:r>
        <w:rPr>
          <w:rFonts w:ascii="Times New Roman" w:eastAsia="方正仿宋_GBK" w:hAnsi="Times New Roman" w:hint="eastAsia"/>
          <w:color w:val="000000"/>
          <w:sz w:val="32"/>
          <w:szCs w:val="32"/>
        </w:rPr>
        <w:t>12</w:t>
      </w:r>
      <w:r>
        <w:rPr>
          <w:rFonts w:ascii="Times New Roman" w:eastAsia="方正仿宋_GBK" w:hAnsi="Times New Roman" w:hint="eastAsia"/>
          <w:color w:val="000000"/>
          <w:sz w:val="32"/>
          <w:szCs w:val="32"/>
          <w:lang w:val="zh-CN"/>
        </w:rPr>
        <w:t>月</w:t>
      </w:r>
      <w:r>
        <w:rPr>
          <w:rFonts w:ascii="Times New Roman" w:eastAsia="方正仿宋_GBK" w:hAnsi="Times New Roman" w:hint="eastAsia"/>
          <w:color w:val="000000"/>
          <w:sz w:val="32"/>
          <w:szCs w:val="32"/>
        </w:rPr>
        <w:t>12</w:t>
      </w:r>
      <w:r>
        <w:rPr>
          <w:rFonts w:ascii="方正仿宋_GBK" w:eastAsia="方正仿宋_GBK" w:hAnsi="Times New Roman" w:hint="eastAsia"/>
          <w:color w:val="000000"/>
          <w:kern w:val="0"/>
          <w:sz w:val="32"/>
          <w:szCs w:val="32"/>
        </w:rPr>
        <w:t>日向</w:t>
      </w:r>
      <w:r>
        <w:rPr>
          <w:rFonts w:ascii="方正仿宋_GBK" w:eastAsia="方正仿宋_GBK" w:hAnsi="Times New Roman"/>
          <w:color w:val="000000"/>
          <w:kern w:val="0"/>
          <w:sz w:val="32"/>
          <w:szCs w:val="32"/>
        </w:rPr>
        <w:t>你</w:t>
      </w:r>
      <w:r>
        <w:rPr>
          <w:rFonts w:ascii="方正仿宋_GBK" w:eastAsia="方正仿宋_GBK" w:hAnsi="Times New Roman" w:hint="eastAsia"/>
          <w:color w:val="000000"/>
          <w:kern w:val="0"/>
          <w:sz w:val="32"/>
          <w:szCs w:val="32"/>
        </w:rPr>
        <w:t>公司</w:t>
      </w:r>
      <w:r>
        <w:rPr>
          <w:rFonts w:ascii="方正仿宋_GBK" w:eastAsia="方正仿宋_GBK" w:hAnsi="Times New Roman"/>
          <w:color w:val="000000"/>
          <w:kern w:val="0"/>
          <w:sz w:val="32"/>
          <w:szCs w:val="32"/>
        </w:rPr>
        <w:t>送达《行政处罚</w:t>
      </w:r>
      <w:r>
        <w:rPr>
          <w:rFonts w:ascii="方正仿宋_GBK" w:eastAsia="方正仿宋_GBK" w:hAnsi="Times New Roman" w:hint="eastAsia"/>
          <w:color w:val="000000"/>
          <w:kern w:val="0"/>
          <w:sz w:val="32"/>
          <w:szCs w:val="32"/>
        </w:rPr>
        <w:t>事项</w:t>
      </w:r>
      <w:r>
        <w:rPr>
          <w:rFonts w:ascii="方正仿宋_GBK" w:eastAsia="方正仿宋_GBK" w:hAnsi="Times New Roman"/>
          <w:color w:val="000000"/>
          <w:kern w:val="0"/>
          <w:sz w:val="32"/>
          <w:szCs w:val="32"/>
        </w:rPr>
        <w:t>告知书》</w:t>
      </w:r>
      <w:r>
        <w:rPr>
          <w:rFonts w:ascii="方正仿宋_GBK" w:eastAsia="方正仿宋_GBK" w:hAnsi="Times New Roman" w:hint="eastAsia"/>
          <w:color w:val="000000"/>
          <w:kern w:val="0"/>
          <w:sz w:val="32"/>
          <w:szCs w:val="32"/>
        </w:rPr>
        <w:t>（渝财告知</w:t>
      </w:r>
      <w:r>
        <w:rPr>
          <w:rFonts w:ascii="Times New Roman" w:eastAsia="方正仿宋_GBK" w:hAnsi="Times New Roman" w:hint="eastAsia"/>
          <w:color w:val="000000"/>
          <w:sz w:val="32"/>
          <w:szCs w:val="32"/>
          <w:lang w:val="zh-CN"/>
        </w:rPr>
        <w:t>〔</w:t>
      </w:r>
      <w:r>
        <w:rPr>
          <w:rFonts w:ascii="Times New Roman" w:eastAsia="方正仿宋_GBK" w:hAnsi="Times New Roman" w:hint="eastAsia"/>
          <w:color w:val="000000"/>
          <w:sz w:val="32"/>
          <w:szCs w:val="32"/>
          <w:lang w:val="zh-CN"/>
        </w:rPr>
        <w:t>202</w:t>
      </w: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lang w:val="zh-CN"/>
        </w:rPr>
        <w:t>〕</w:t>
      </w:r>
      <w:r>
        <w:rPr>
          <w:rFonts w:ascii="Times New Roman" w:eastAsia="方正仿宋_GBK" w:hAnsi="Times New Roman" w:hint="eastAsia"/>
          <w:color w:val="000000"/>
          <w:sz w:val="32"/>
          <w:szCs w:val="32"/>
        </w:rPr>
        <w:t>15</w:t>
      </w:r>
      <w:r>
        <w:rPr>
          <w:rFonts w:ascii="方正仿宋_GBK" w:eastAsia="方正仿宋_GBK" w:hAnsi="Times New Roman" w:hint="eastAsia"/>
          <w:color w:val="000000"/>
          <w:kern w:val="0"/>
          <w:sz w:val="32"/>
          <w:szCs w:val="32"/>
        </w:rPr>
        <w:t>号）</w:t>
      </w:r>
      <w:r>
        <w:rPr>
          <w:rFonts w:ascii="Times New Roman" w:eastAsia="方正仿宋_GBK" w:hAnsi="Times New Roman" w:cs="宋体" w:hint="eastAsia"/>
          <w:sz w:val="32"/>
          <w:szCs w:val="32"/>
        </w:rPr>
        <w:t>，告知你公司依法享有陈述申辩权</w:t>
      </w:r>
      <w:r>
        <w:rPr>
          <w:rFonts w:ascii="方正仿宋_GBK" w:eastAsia="方正仿宋_GBK" w:hAnsi="Times New Roman" w:hint="eastAsia"/>
          <w:color w:val="000000"/>
          <w:kern w:val="0"/>
          <w:sz w:val="32"/>
          <w:szCs w:val="32"/>
        </w:rPr>
        <w:t>。</w:t>
      </w:r>
      <w:r>
        <w:rPr>
          <w:rFonts w:ascii="方正仿宋_GBK" w:eastAsia="方正仿宋_GBK" w:hAnsi="Times New Roman"/>
          <w:color w:val="000000"/>
          <w:kern w:val="0"/>
          <w:sz w:val="32"/>
          <w:szCs w:val="32"/>
        </w:rPr>
        <w:t>对</w:t>
      </w:r>
      <w:r>
        <w:rPr>
          <w:rFonts w:ascii="方正仿宋_GBK" w:eastAsia="方正仿宋_GBK" w:hAnsi="Times New Roman" w:hint="eastAsia"/>
          <w:color w:val="000000"/>
          <w:kern w:val="0"/>
          <w:sz w:val="32"/>
          <w:szCs w:val="32"/>
        </w:rPr>
        <w:t>本机关</w:t>
      </w:r>
      <w:r>
        <w:rPr>
          <w:rFonts w:ascii="方正仿宋_GBK" w:eastAsia="方正仿宋_GBK" w:hAnsi="Times New Roman"/>
          <w:color w:val="000000"/>
          <w:kern w:val="0"/>
          <w:sz w:val="32"/>
          <w:szCs w:val="32"/>
        </w:rPr>
        <w:t>处罚所依据的</w:t>
      </w:r>
      <w:r>
        <w:rPr>
          <w:rFonts w:ascii="方正仿宋_GBK" w:eastAsia="方正仿宋_GBK" w:hAnsi="Times New Roman" w:hint="eastAsia"/>
          <w:color w:val="000000"/>
          <w:kern w:val="0"/>
          <w:sz w:val="32"/>
          <w:szCs w:val="32"/>
        </w:rPr>
        <w:t>事实</w:t>
      </w:r>
      <w:r>
        <w:rPr>
          <w:rFonts w:ascii="方正仿宋_GBK" w:eastAsia="方正仿宋_GBK" w:hAnsi="Times New Roman"/>
          <w:color w:val="000000"/>
          <w:kern w:val="0"/>
          <w:sz w:val="32"/>
          <w:szCs w:val="32"/>
        </w:rPr>
        <w:t>、法律</w:t>
      </w:r>
      <w:r>
        <w:rPr>
          <w:rFonts w:ascii="方正仿宋_GBK" w:eastAsia="方正仿宋_GBK" w:hAnsi="Times New Roman"/>
          <w:color w:val="000000"/>
          <w:kern w:val="0"/>
          <w:sz w:val="32"/>
          <w:szCs w:val="32"/>
        </w:rPr>
        <w:lastRenderedPageBreak/>
        <w:t>依据和</w:t>
      </w:r>
      <w:r>
        <w:rPr>
          <w:rFonts w:ascii="方正仿宋_GBK" w:eastAsia="方正仿宋_GBK" w:hAnsi="Times New Roman" w:hint="eastAsia"/>
          <w:color w:val="000000"/>
          <w:kern w:val="0"/>
          <w:sz w:val="32"/>
          <w:szCs w:val="32"/>
        </w:rPr>
        <w:t>处罚</w:t>
      </w:r>
      <w:r>
        <w:rPr>
          <w:rFonts w:ascii="方正仿宋_GBK" w:eastAsia="方正仿宋_GBK" w:hAnsi="Times New Roman"/>
          <w:color w:val="000000"/>
          <w:kern w:val="0"/>
          <w:sz w:val="32"/>
          <w:szCs w:val="32"/>
        </w:rPr>
        <w:t>内容</w:t>
      </w:r>
      <w:r>
        <w:rPr>
          <w:rFonts w:ascii="方正仿宋_GBK" w:eastAsia="方正仿宋_GBK" w:hAnsi="Times New Roman" w:hint="eastAsia"/>
          <w:color w:val="000000"/>
          <w:kern w:val="0"/>
          <w:sz w:val="32"/>
          <w:szCs w:val="32"/>
        </w:rPr>
        <w:t>，</w:t>
      </w:r>
      <w:r>
        <w:rPr>
          <w:rFonts w:ascii="方正仿宋_GBK" w:eastAsia="方正仿宋_GBK" w:hAnsi="Times New Roman"/>
          <w:color w:val="000000"/>
          <w:kern w:val="0"/>
          <w:sz w:val="32"/>
          <w:szCs w:val="32"/>
        </w:rPr>
        <w:t>你</w:t>
      </w:r>
      <w:r>
        <w:rPr>
          <w:rFonts w:ascii="方正仿宋_GBK" w:eastAsia="方正仿宋_GBK" w:hAnsi="Times New Roman" w:hint="eastAsia"/>
          <w:color w:val="000000"/>
          <w:kern w:val="0"/>
          <w:sz w:val="32"/>
          <w:szCs w:val="32"/>
        </w:rPr>
        <w:t>公司</w:t>
      </w:r>
      <w:r>
        <w:rPr>
          <w:rFonts w:ascii="方正仿宋_GBK" w:eastAsia="方正仿宋_GBK" w:hAnsi="Times New Roman"/>
          <w:color w:val="000000"/>
          <w:kern w:val="0"/>
          <w:sz w:val="32"/>
          <w:szCs w:val="32"/>
        </w:rPr>
        <w:t>在法定期限内没有</w:t>
      </w:r>
      <w:r>
        <w:rPr>
          <w:rFonts w:ascii="方正仿宋_GBK" w:eastAsia="方正仿宋_GBK" w:hAnsi="Times New Roman" w:hint="eastAsia"/>
          <w:color w:val="000000"/>
          <w:kern w:val="0"/>
          <w:sz w:val="32"/>
          <w:szCs w:val="32"/>
        </w:rPr>
        <w:t>进行陈述申辩</w:t>
      </w:r>
      <w:r>
        <w:rPr>
          <w:rFonts w:ascii="方正仿宋_GBK" w:eastAsia="方正仿宋_GBK" w:hAnsi="Times New Roman"/>
          <w:color w:val="000000"/>
          <w:kern w:val="0"/>
          <w:sz w:val="32"/>
          <w:szCs w:val="32"/>
        </w:rPr>
        <w:t>。</w:t>
      </w:r>
    </w:p>
    <w:p w:rsidR="000C60D7" w:rsidRDefault="000C60D7">
      <w:pPr>
        <w:spacing w:line="600" w:lineRule="exact"/>
        <w:ind w:firstLineChars="200" w:firstLine="640"/>
        <w:rPr>
          <w:rFonts w:ascii="Times New Roman" w:eastAsia="方正仿宋_GBK" w:hAnsi="Times New Roman"/>
          <w:sz w:val="32"/>
        </w:rPr>
      </w:pPr>
      <w:r>
        <w:rPr>
          <w:rFonts w:ascii="Times New Roman" w:eastAsia="方正仿宋_GBK" w:hAnsi="Times New Roman" w:hint="eastAsia"/>
          <w:sz w:val="32"/>
        </w:rPr>
        <w:t>根据《中华人民共和国资产评估法》第四十七条的规定，本机关决定给予你公司警告的行政处罚。</w:t>
      </w:r>
    </w:p>
    <w:p w:rsidR="000C60D7" w:rsidRDefault="000C60D7">
      <w:pPr>
        <w:autoSpaceDE w:val="0"/>
        <w:autoSpaceDN w:val="0"/>
        <w:adjustRightInd w:val="0"/>
        <w:spacing w:line="600" w:lineRule="exact"/>
        <w:ind w:firstLineChars="200" w:firstLine="640"/>
        <w:rPr>
          <w:rFonts w:ascii="方正仿宋_GBK" w:eastAsia="方正仿宋_GBK" w:hAnsi="Times New Roman"/>
          <w:color w:val="000000"/>
          <w:kern w:val="0"/>
          <w:sz w:val="32"/>
          <w:szCs w:val="32"/>
        </w:rPr>
      </w:pPr>
      <w:r>
        <w:rPr>
          <w:rFonts w:ascii="方正仿宋_GBK" w:eastAsia="方正仿宋_GBK" w:hAnsi="Times New Roman" w:hint="eastAsia"/>
          <w:color w:val="000000"/>
          <w:kern w:val="0"/>
          <w:sz w:val="32"/>
          <w:szCs w:val="32"/>
        </w:rPr>
        <w:t>如不服本处罚决定，可以自收到本决定书之日起</w:t>
      </w:r>
      <w:r>
        <w:rPr>
          <w:rFonts w:ascii="Times New Roman" w:eastAsia="方正仿宋_GBK" w:hAnsi="Times New Roman" w:hint="eastAsia"/>
          <w:color w:val="000000"/>
          <w:sz w:val="32"/>
          <w:szCs w:val="32"/>
          <w:lang w:val="zh-CN"/>
        </w:rPr>
        <w:t>60</w:t>
      </w:r>
      <w:r>
        <w:rPr>
          <w:rFonts w:ascii="方正仿宋_GBK" w:eastAsia="方正仿宋_GBK" w:hAnsi="Times New Roman" w:hint="eastAsia"/>
          <w:color w:val="000000"/>
          <w:kern w:val="0"/>
          <w:sz w:val="32"/>
          <w:szCs w:val="32"/>
        </w:rPr>
        <w:t>日内，依法向中华人民共和国财政部或重庆市人民政府申请行政复议；或者自收到本决定书之日起</w:t>
      </w:r>
      <w:r>
        <w:rPr>
          <w:rFonts w:ascii="Times New Roman" w:eastAsia="方正仿宋_GBK" w:hAnsi="Times New Roman" w:hint="eastAsia"/>
          <w:color w:val="000000"/>
          <w:sz w:val="32"/>
          <w:szCs w:val="32"/>
          <w:lang w:val="zh-CN"/>
        </w:rPr>
        <w:t>15</w:t>
      </w:r>
      <w:r>
        <w:rPr>
          <w:rFonts w:ascii="方正仿宋_GBK" w:eastAsia="方正仿宋_GBK" w:hAnsi="Times New Roman" w:hint="eastAsia"/>
          <w:color w:val="000000"/>
          <w:kern w:val="0"/>
          <w:sz w:val="32"/>
          <w:szCs w:val="32"/>
        </w:rPr>
        <w:t>日内，依法向人民法院提起行政诉讼。</w:t>
      </w:r>
    </w:p>
    <w:p w:rsidR="000C60D7" w:rsidRDefault="000C60D7">
      <w:pPr>
        <w:autoSpaceDE w:val="0"/>
        <w:autoSpaceDN w:val="0"/>
        <w:adjustRightInd w:val="0"/>
        <w:spacing w:line="600" w:lineRule="exact"/>
        <w:ind w:firstLineChars="200" w:firstLine="640"/>
        <w:rPr>
          <w:rFonts w:ascii="方正仿宋_GBK" w:eastAsia="方正仿宋_GBK" w:hAnsi="Times New Roman"/>
          <w:color w:val="000000"/>
          <w:kern w:val="0"/>
          <w:sz w:val="32"/>
          <w:szCs w:val="32"/>
        </w:rPr>
      </w:pPr>
      <w:r>
        <w:rPr>
          <w:rFonts w:ascii="方正仿宋_GBK" w:eastAsia="方正仿宋_GBK" w:hAnsi="Times New Roman" w:hint="eastAsia"/>
          <w:color w:val="000000"/>
          <w:kern w:val="0"/>
          <w:sz w:val="32"/>
          <w:szCs w:val="32"/>
        </w:rPr>
        <w:t>除法律另有规定外，行政复议或行政诉讼期间，行政处罚不停止执行。</w:t>
      </w:r>
    </w:p>
    <w:p w:rsidR="000C60D7" w:rsidRDefault="000C60D7">
      <w:pPr>
        <w:spacing w:line="600" w:lineRule="exact"/>
        <w:ind w:firstLineChars="200" w:firstLine="640"/>
        <w:rPr>
          <w:rFonts w:ascii="Times New Roman" w:eastAsia="方正仿宋_GBK" w:hAnsi="Times New Roman"/>
          <w:sz w:val="32"/>
        </w:rPr>
      </w:pPr>
    </w:p>
    <w:p w:rsidR="000C60D7" w:rsidRPr="006C262B" w:rsidRDefault="000C60D7">
      <w:pPr>
        <w:spacing w:line="578" w:lineRule="exact"/>
        <w:ind w:firstLineChars="200" w:firstLine="640"/>
        <w:jc w:val="left"/>
        <w:rPr>
          <w:rFonts w:ascii="Times New Roman" w:eastAsia="方正仿宋_GBK" w:hAnsi="Times New Roman"/>
          <w:sz w:val="32"/>
        </w:rPr>
      </w:pPr>
    </w:p>
    <w:p w:rsidR="000C60D7" w:rsidRDefault="000C60D7">
      <w:pPr>
        <w:spacing w:line="578" w:lineRule="exact"/>
        <w:rPr>
          <w:rFonts w:ascii="Times New Roman" w:eastAsia="方正仿宋_GBK" w:hAnsi="Times New Roman"/>
          <w:sz w:val="32"/>
        </w:rPr>
      </w:pPr>
    </w:p>
    <w:p w:rsidR="000C60D7" w:rsidRDefault="000C60D7">
      <w:pPr>
        <w:spacing w:line="578" w:lineRule="exact"/>
        <w:rPr>
          <w:rFonts w:ascii="Times New Roman" w:eastAsia="方正仿宋_GBK" w:hAnsi="Times New Roman"/>
          <w:sz w:val="32"/>
        </w:rPr>
      </w:pPr>
    </w:p>
    <w:p w:rsidR="000C60D7" w:rsidRDefault="000C60D7" w:rsidP="00BC499A">
      <w:pPr>
        <w:spacing w:line="578" w:lineRule="exact"/>
        <w:ind w:firstLineChars="1662" w:firstLine="5318"/>
        <w:rPr>
          <w:rFonts w:ascii="Times New Roman" w:eastAsia="方正仿宋_GBK" w:hAnsi="Times New Roman"/>
          <w:sz w:val="32"/>
        </w:rPr>
      </w:pPr>
      <w:r>
        <w:rPr>
          <w:rFonts w:ascii="Times New Roman" w:eastAsia="方正仿宋_GBK" w:hAnsi="Times New Roman" w:hint="eastAsia"/>
          <w:sz w:val="32"/>
        </w:rPr>
        <w:t>重庆市财政局</w:t>
      </w:r>
    </w:p>
    <w:p w:rsidR="000C60D7" w:rsidRDefault="000C60D7" w:rsidP="000C60D7">
      <w:pPr>
        <w:spacing w:line="578" w:lineRule="exact"/>
        <w:ind w:firstLineChars="1594" w:firstLine="5101"/>
        <w:rPr>
          <w:rFonts w:ascii="Times New Roman" w:eastAsia="方正仿宋_GBK" w:hAnsi="Times New Roman"/>
          <w:sz w:val="32"/>
        </w:rPr>
      </w:pPr>
      <w:r>
        <w:rPr>
          <w:rFonts w:ascii="Times New Roman" w:eastAsia="方正仿宋_GBK" w:hAnsi="Times New Roman" w:hint="eastAsia"/>
          <w:sz w:val="32"/>
        </w:rPr>
        <w:t>202</w:t>
      </w:r>
      <w:r>
        <w:rPr>
          <w:rFonts w:ascii="Times New Roman" w:eastAsia="方正仿宋_GBK" w:hAnsi="Times New Roman"/>
          <w:sz w:val="32"/>
        </w:rPr>
        <w:t>3</w:t>
      </w:r>
      <w:r>
        <w:rPr>
          <w:rFonts w:ascii="Times New Roman" w:eastAsia="方正仿宋_GBK" w:hAnsi="Times New Roman" w:hint="eastAsia"/>
          <w:sz w:val="32"/>
        </w:rPr>
        <w:t>年</w:t>
      </w:r>
      <w:r>
        <w:rPr>
          <w:rFonts w:ascii="Times New Roman" w:eastAsia="方正仿宋_GBK" w:hAnsi="Times New Roman"/>
          <w:sz w:val="32"/>
        </w:rPr>
        <w:t>2</w:t>
      </w:r>
      <w:r>
        <w:rPr>
          <w:rFonts w:ascii="Times New Roman" w:eastAsia="方正仿宋_GBK" w:hAnsi="Times New Roman" w:hint="eastAsia"/>
          <w:sz w:val="32"/>
        </w:rPr>
        <w:t>月</w:t>
      </w:r>
      <w:r>
        <w:rPr>
          <w:rFonts w:ascii="Times New Roman" w:eastAsia="方正仿宋_GBK" w:hAnsi="Times New Roman" w:hint="eastAsia"/>
          <w:sz w:val="32"/>
        </w:rPr>
        <w:t>1</w:t>
      </w:r>
      <w:r>
        <w:rPr>
          <w:rFonts w:ascii="Times New Roman" w:eastAsia="方正仿宋_GBK" w:hAnsi="Times New Roman"/>
          <w:sz w:val="32"/>
        </w:rPr>
        <w:t>4</w:t>
      </w:r>
      <w:r>
        <w:rPr>
          <w:rFonts w:ascii="Times New Roman" w:eastAsia="方正仿宋_GBK" w:hAnsi="Times New Roman" w:hint="eastAsia"/>
          <w:sz w:val="32"/>
        </w:rPr>
        <w:t>日</w:t>
      </w:r>
    </w:p>
    <w:p w:rsidR="000C60D7" w:rsidRDefault="000C60D7">
      <w:pPr>
        <w:spacing w:line="600" w:lineRule="exact"/>
        <w:ind w:firstLineChars="1594" w:firstLine="5101"/>
        <w:rPr>
          <w:rFonts w:ascii="Times New Roman" w:eastAsia="方正仿宋_GBK" w:hAnsi="Times New Roman"/>
          <w:sz w:val="32"/>
        </w:rPr>
      </w:pPr>
    </w:p>
    <w:p w:rsidR="000C60D7" w:rsidRDefault="000C60D7">
      <w:pPr>
        <w:spacing w:line="600" w:lineRule="exact"/>
        <w:ind w:firstLineChars="1594" w:firstLine="5101"/>
        <w:rPr>
          <w:rFonts w:ascii="Times New Roman" w:eastAsia="方正仿宋_GBK" w:hAnsi="Times New Roman"/>
          <w:sz w:val="32"/>
        </w:rPr>
      </w:pPr>
    </w:p>
    <w:p w:rsidR="000C60D7" w:rsidRDefault="000C60D7">
      <w:pPr>
        <w:spacing w:line="600" w:lineRule="exact"/>
        <w:ind w:firstLineChars="1594" w:firstLine="5101"/>
        <w:rPr>
          <w:rFonts w:ascii="Times New Roman" w:eastAsia="方正仿宋_GBK" w:hAnsi="Times New Roman"/>
          <w:sz w:val="32"/>
        </w:rPr>
      </w:pPr>
    </w:p>
    <w:p w:rsidR="000C60D7" w:rsidRDefault="000C60D7">
      <w:pPr>
        <w:spacing w:line="600" w:lineRule="exact"/>
        <w:ind w:firstLineChars="1594" w:firstLine="5101"/>
        <w:rPr>
          <w:rFonts w:ascii="Times New Roman" w:eastAsia="方正仿宋_GBK" w:hAnsi="Times New Roman"/>
          <w:sz w:val="32"/>
        </w:rPr>
      </w:pPr>
    </w:p>
    <w:p w:rsidR="000C60D7" w:rsidRDefault="000C60D7">
      <w:pPr>
        <w:spacing w:line="600" w:lineRule="exact"/>
        <w:ind w:firstLineChars="1594" w:firstLine="5101"/>
        <w:rPr>
          <w:rFonts w:ascii="Times New Roman" w:eastAsia="方正仿宋_GBK" w:hAnsi="Times New Roman"/>
          <w:sz w:val="32"/>
        </w:rPr>
      </w:pPr>
    </w:p>
    <w:p w:rsidR="000C60D7" w:rsidRDefault="000C60D7">
      <w:pPr>
        <w:spacing w:line="600" w:lineRule="exact"/>
        <w:ind w:firstLineChars="1594" w:firstLine="5101"/>
        <w:rPr>
          <w:rFonts w:ascii="Times New Roman" w:eastAsia="方正仿宋_GBK" w:hAnsi="Times New Roman"/>
          <w:sz w:val="32"/>
        </w:rPr>
      </w:pPr>
    </w:p>
    <w:p w:rsidR="000C60D7" w:rsidRDefault="000C60D7" w:rsidP="000C60D7">
      <w:pPr>
        <w:spacing w:line="600" w:lineRule="exact"/>
        <w:ind w:firstLineChars="100" w:firstLine="280"/>
        <w:rPr>
          <w:rFonts w:ascii="Times New Roman" w:eastAsia="方正仿宋_GBK" w:hAnsi="Times New Roman"/>
          <w:sz w:val="28"/>
          <w:szCs w:val="28"/>
        </w:rPr>
      </w:pPr>
      <w:r>
        <w:rPr>
          <w:rFonts w:ascii="Times New Roman" w:eastAsia="方正仿宋_GBK" w:hAnsi="Times New Roman" w:hint="eastAsia"/>
          <w:sz w:val="28"/>
          <w:szCs w:val="28"/>
        </w:rPr>
        <w:t>抄送</w:t>
      </w:r>
      <w:r>
        <w:rPr>
          <w:rFonts w:ascii="Times New Roman" w:eastAsia="方正仿宋_GBK" w:hAnsi="Times New Roman"/>
          <w:sz w:val="28"/>
          <w:szCs w:val="28"/>
        </w:rPr>
        <w:t>：重庆市</w:t>
      </w:r>
      <w:r>
        <w:rPr>
          <w:rFonts w:ascii="Times New Roman" w:eastAsia="方正仿宋_GBK" w:hAnsi="Times New Roman" w:hint="eastAsia"/>
          <w:sz w:val="28"/>
          <w:szCs w:val="28"/>
        </w:rPr>
        <w:t>资产评估</w:t>
      </w:r>
      <w:r>
        <w:rPr>
          <w:rFonts w:ascii="Times New Roman" w:eastAsia="方正仿宋_GBK" w:hAnsi="Times New Roman"/>
          <w:sz w:val="28"/>
          <w:szCs w:val="28"/>
        </w:rPr>
        <w:t>协会</w:t>
      </w:r>
      <w:r>
        <w:rPr>
          <w:rFonts w:ascii="Times New Roman" w:eastAsia="方正仿宋_GBK" w:hAnsi="Times New Roman" w:hint="eastAsia"/>
          <w:sz w:val="28"/>
          <w:szCs w:val="28"/>
        </w:rPr>
        <w:t>。</w:t>
      </w:r>
      <w:bookmarkStart w:id="2" w:name="_GoBack"/>
      <w:bookmarkEnd w:id="2"/>
    </w:p>
    <w:sectPr w:rsidR="000C60D7">
      <w:footerReference w:type="even" r:id="rId7"/>
      <w:footerReference w:type="default" r:id="rId8"/>
      <w:pgSz w:w="11906" w:h="16838"/>
      <w:pgMar w:top="2098" w:right="1531" w:bottom="1417" w:left="1531" w:header="850" w:footer="96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182" w:rsidRDefault="008E1182">
      <w:r>
        <w:separator/>
      </w:r>
    </w:p>
  </w:endnote>
  <w:endnote w:type="continuationSeparator" w:id="0">
    <w:p w:rsidR="008E1182" w:rsidRDefault="008E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8C4" w:rsidRDefault="000C60D7">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6C262B" w:rsidRPr="006C262B">
      <w:rPr>
        <w:rFonts w:ascii="Times New Roman" w:hAnsi="Times New Roman"/>
        <w:noProof/>
        <w:sz w:val="28"/>
        <w:szCs w:val="28"/>
        <w:lang w:val="zh-CN"/>
      </w:rPr>
      <w:t>3</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8C4" w:rsidRDefault="000C60D7">
    <w:pPr>
      <w:pStyle w:val="a3"/>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6C262B" w:rsidRPr="006C262B">
      <w:rPr>
        <w:rFonts w:ascii="Times New Roman" w:hAnsi="Times New Roman"/>
        <w:noProof/>
        <w:sz w:val="28"/>
        <w:szCs w:val="28"/>
        <w:lang w:val="zh-CN"/>
      </w:rPr>
      <w:t>3</w:t>
    </w:r>
    <w:r>
      <w:rPr>
        <w:rFonts w:ascii="Times New Roman" w:hAnsi="Times New Roman"/>
        <w:sz w:val="28"/>
        <w:szCs w:val="28"/>
      </w:rPr>
      <w:fldChar w:fldCharType="end"/>
    </w:r>
    <w:r>
      <w:rPr>
        <w:rFonts w:ascii="Times New Roman" w:hAnsi="Times New Roman"/>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182" w:rsidRDefault="008E1182">
      <w:r>
        <w:separator/>
      </w:r>
    </w:p>
  </w:footnote>
  <w:footnote w:type="continuationSeparator" w:id="0">
    <w:p w:rsidR="008E1182" w:rsidRDefault="008E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CD"/>
    <w:rsid w:val="000122D6"/>
    <w:rsid w:val="00071D4B"/>
    <w:rsid w:val="000C60D7"/>
    <w:rsid w:val="000E302B"/>
    <w:rsid w:val="00141491"/>
    <w:rsid w:val="00144317"/>
    <w:rsid w:val="00147FBA"/>
    <w:rsid w:val="001868F4"/>
    <w:rsid w:val="001D13FE"/>
    <w:rsid w:val="00225A8A"/>
    <w:rsid w:val="002A4DF6"/>
    <w:rsid w:val="0030204C"/>
    <w:rsid w:val="00303030"/>
    <w:rsid w:val="00303FA1"/>
    <w:rsid w:val="00363C9E"/>
    <w:rsid w:val="003940D7"/>
    <w:rsid w:val="003E3885"/>
    <w:rsid w:val="00401662"/>
    <w:rsid w:val="00475110"/>
    <w:rsid w:val="004C13A8"/>
    <w:rsid w:val="00520439"/>
    <w:rsid w:val="00520D7F"/>
    <w:rsid w:val="005B0EF6"/>
    <w:rsid w:val="005C7A3F"/>
    <w:rsid w:val="005C7C07"/>
    <w:rsid w:val="005E468D"/>
    <w:rsid w:val="005F4CE1"/>
    <w:rsid w:val="00606742"/>
    <w:rsid w:val="00620EA5"/>
    <w:rsid w:val="006359E4"/>
    <w:rsid w:val="006821FB"/>
    <w:rsid w:val="006A266A"/>
    <w:rsid w:val="006B0020"/>
    <w:rsid w:val="006C04A8"/>
    <w:rsid w:val="006C262B"/>
    <w:rsid w:val="006E4684"/>
    <w:rsid w:val="006F3C8B"/>
    <w:rsid w:val="007019C6"/>
    <w:rsid w:val="007115CD"/>
    <w:rsid w:val="00711C4B"/>
    <w:rsid w:val="0074051F"/>
    <w:rsid w:val="00740C00"/>
    <w:rsid w:val="007450FE"/>
    <w:rsid w:val="007A01B3"/>
    <w:rsid w:val="007B4C6A"/>
    <w:rsid w:val="007B76AD"/>
    <w:rsid w:val="00825CB8"/>
    <w:rsid w:val="008323E1"/>
    <w:rsid w:val="00864523"/>
    <w:rsid w:val="008A652F"/>
    <w:rsid w:val="008B0442"/>
    <w:rsid w:val="008B18DA"/>
    <w:rsid w:val="008D3A6E"/>
    <w:rsid w:val="008E1182"/>
    <w:rsid w:val="008E161B"/>
    <w:rsid w:val="009078F4"/>
    <w:rsid w:val="00922001"/>
    <w:rsid w:val="00923B91"/>
    <w:rsid w:val="00985C62"/>
    <w:rsid w:val="009E7F2B"/>
    <w:rsid w:val="009F2A5D"/>
    <w:rsid w:val="00A76CD9"/>
    <w:rsid w:val="00AA2444"/>
    <w:rsid w:val="00AB2C80"/>
    <w:rsid w:val="00B11321"/>
    <w:rsid w:val="00B23DC2"/>
    <w:rsid w:val="00B35F51"/>
    <w:rsid w:val="00B80DB6"/>
    <w:rsid w:val="00B9411B"/>
    <w:rsid w:val="00C04C5A"/>
    <w:rsid w:val="00C10879"/>
    <w:rsid w:val="00C12756"/>
    <w:rsid w:val="00C22AA4"/>
    <w:rsid w:val="00C365D1"/>
    <w:rsid w:val="00C6718C"/>
    <w:rsid w:val="00C9743E"/>
    <w:rsid w:val="00CA4673"/>
    <w:rsid w:val="00CA4D5F"/>
    <w:rsid w:val="00CC3776"/>
    <w:rsid w:val="00D3206C"/>
    <w:rsid w:val="00D51EE8"/>
    <w:rsid w:val="00D855FC"/>
    <w:rsid w:val="00D90110"/>
    <w:rsid w:val="00DA51AD"/>
    <w:rsid w:val="00E13414"/>
    <w:rsid w:val="00E2416E"/>
    <w:rsid w:val="00E4376E"/>
    <w:rsid w:val="00E65815"/>
    <w:rsid w:val="00EB3E1B"/>
    <w:rsid w:val="00EE6945"/>
    <w:rsid w:val="00F07C8A"/>
    <w:rsid w:val="00F208C4"/>
    <w:rsid w:val="00F561F7"/>
    <w:rsid w:val="00FA65A7"/>
    <w:rsid w:val="00FE3D16"/>
    <w:rsid w:val="0AC34769"/>
    <w:rsid w:val="1E033995"/>
    <w:rsid w:val="77BD34D8"/>
    <w:rsid w:val="77F38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DF0C8D7-38C8-45EA-AB48-C3FAB66D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9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7</TotalTime>
  <Pages>3</Pages>
  <Words>177</Words>
  <Characters>1015</Characters>
  <Application>Microsoft Office Word</Application>
  <DocSecurity>0</DocSecurity>
  <Lines>8</Lines>
  <Paragraphs>2</Paragraphs>
  <ScaleCrop>false</ScaleCrop>
  <Company>Sky123.Org</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蔡锋</dc:creator>
  <cp:lastModifiedBy>昌旭</cp:lastModifiedBy>
  <cp:revision>32</cp:revision>
  <dcterms:created xsi:type="dcterms:W3CDTF">2016-01-14T17:52:00Z</dcterms:created>
  <dcterms:modified xsi:type="dcterms:W3CDTF">2023-02-15T11:33:00Z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